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935"/>
        </w:tabs>
        <w:snapToGrid w:val="0"/>
        <w:jc w:val="center"/>
        <w:rPr>
          <w:rFonts w:ascii="黑体" w:hAnsi="黑体" w:eastAsia="黑体"/>
          <w:b/>
          <w:sz w:val="56"/>
          <w:szCs w:val="56"/>
        </w:rPr>
      </w:pPr>
    </w:p>
    <w:p>
      <w:pPr>
        <w:tabs>
          <w:tab w:val="left" w:pos="4935"/>
        </w:tabs>
        <w:snapToGrid w:val="0"/>
        <w:jc w:val="center"/>
        <w:rPr>
          <w:rFonts w:ascii="黑体" w:hAnsi="黑体" w:eastAsia="黑体"/>
          <w:b/>
          <w:sz w:val="56"/>
          <w:szCs w:val="56"/>
        </w:rPr>
      </w:pPr>
    </w:p>
    <w:p>
      <w:pPr>
        <w:tabs>
          <w:tab w:val="left" w:pos="4935"/>
        </w:tabs>
        <w:snapToGrid w:val="0"/>
        <w:jc w:val="center"/>
        <w:rPr>
          <w:rFonts w:ascii="黑体" w:hAnsi="黑体" w:eastAsia="黑体"/>
          <w:b/>
          <w:sz w:val="56"/>
          <w:szCs w:val="56"/>
        </w:rPr>
      </w:pPr>
    </w:p>
    <w:p>
      <w:pPr>
        <w:jc w:val="center"/>
        <w:rPr>
          <w:rFonts w:ascii="宋体" w:hAnsi="宋体" w:cs="Times New Roman"/>
          <w:b/>
          <w:sz w:val="56"/>
          <w:szCs w:val="32"/>
        </w:rPr>
      </w:pPr>
      <w:r>
        <w:rPr>
          <w:rFonts w:hint="eastAsia" w:asciiTheme="majorEastAsia" w:hAnsiTheme="majorEastAsia" w:eastAsiaTheme="majorEastAsia"/>
          <w:sz w:val="52"/>
          <w:szCs w:val="52"/>
        </w:rPr>
        <w:t>石化行业工艺文件交换系统</w:t>
      </w:r>
    </w:p>
    <w:p>
      <w:pPr>
        <w:tabs>
          <w:tab w:val="left" w:pos="4935"/>
        </w:tabs>
        <w:snapToGrid w:val="0"/>
        <w:jc w:val="center"/>
        <w:rPr>
          <w:rFonts w:ascii="黑体" w:hAnsi="黑体" w:eastAsia="黑体"/>
          <w:b/>
          <w:sz w:val="56"/>
          <w:szCs w:val="56"/>
        </w:rPr>
      </w:pPr>
    </w:p>
    <w:p>
      <w:pPr>
        <w:tabs>
          <w:tab w:val="left" w:pos="4935"/>
        </w:tabs>
        <w:snapToGrid w:val="0"/>
        <w:jc w:val="center"/>
        <w:rPr>
          <w:rFonts w:ascii="黑体" w:hAnsi="黑体" w:eastAsia="黑体"/>
          <w:b/>
          <w:sz w:val="56"/>
          <w:szCs w:val="56"/>
        </w:rPr>
      </w:pPr>
      <w:r>
        <w:rPr>
          <w:rFonts w:hint="eastAsia" w:ascii="黑体" w:hAnsi="黑体" w:eastAsia="黑体"/>
          <w:b/>
          <w:sz w:val="56"/>
          <w:szCs w:val="56"/>
        </w:rPr>
        <w:t>用户手册</w:t>
      </w:r>
    </w:p>
    <w:p>
      <w:pPr>
        <w:tabs>
          <w:tab w:val="left" w:pos="4935"/>
        </w:tabs>
        <w:snapToGrid w:val="0"/>
        <w:jc w:val="center"/>
        <w:rPr>
          <w:rFonts w:ascii="黑体" w:hAnsi="黑体" w:eastAsia="黑体"/>
          <w:b/>
          <w:sz w:val="56"/>
          <w:szCs w:val="56"/>
        </w:rPr>
      </w:pPr>
    </w:p>
    <w:p>
      <w:pPr>
        <w:tabs>
          <w:tab w:val="left" w:pos="4935"/>
        </w:tabs>
        <w:snapToGrid w:val="0"/>
        <w:jc w:val="center"/>
        <w:rPr>
          <w:rFonts w:ascii="黑体" w:hAnsi="黑体" w:eastAsia="黑体"/>
          <w:b/>
          <w:sz w:val="56"/>
          <w:szCs w:val="56"/>
        </w:rPr>
      </w:pPr>
    </w:p>
    <w:p>
      <w:pPr>
        <w:tabs>
          <w:tab w:val="left" w:pos="4935"/>
        </w:tabs>
        <w:snapToGrid w:val="0"/>
        <w:jc w:val="center"/>
        <w:rPr>
          <w:rFonts w:ascii="黑体" w:hAnsi="黑体" w:eastAsia="黑体"/>
          <w:b/>
          <w:sz w:val="56"/>
          <w:szCs w:val="56"/>
        </w:rPr>
      </w:pPr>
    </w:p>
    <w:p>
      <w:pPr>
        <w:tabs>
          <w:tab w:val="left" w:pos="4935"/>
        </w:tabs>
        <w:snapToGrid w:val="0"/>
        <w:jc w:val="center"/>
        <w:rPr>
          <w:rFonts w:ascii="黑体" w:hAnsi="黑体" w:eastAsia="黑体"/>
          <w:b/>
          <w:sz w:val="56"/>
          <w:szCs w:val="56"/>
        </w:rPr>
      </w:pPr>
    </w:p>
    <w:p>
      <w:pPr>
        <w:tabs>
          <w:tab w:val="left" w:pos="4935"/>
        </w:tabs>
        <w:snapToGrid w:val="0"/>
        <w:jc w:val="center"/>
        <w:rPr>
          <w:rFonts w:ascii="黑体" w:hAnsi="黑体" w:eastAsia="黑体"/>
          <w:b/>
          <w:sz w:val="56"/>
          <w:szCs w:val="56"/>
        </w:rPr>
      </w:pPr>
      <w:r>
        <w:rPr>
          <w:rFonts w:hint="eastAsia" w:asciiTheme="majorEastAsia" w:hAnsiTheme="majorEastAsia" w:eastAsiaTheme="majorEastAsia"/>
          <w:sz w:val="52"/>
          <w:szCs w:val="52"/>
        </w:rPr>
        <w:t>北京杰迅鸿翔信息技术有限公司</w:t>
      </w:r>
    </w:p>
    <w:p>
      <w:pPr>
        <w:jc w:val="center"/>
        <w:rPr>
          <w:b/>
          <w:bCs/>
          <w:sz w:val="32"/>
          <w:szCs w:val="32"/>
        </w:rPr>
      </w:pPr>
    </w:p>
    <w:p>
      <w:pPr>
        <w:tabs>
          <w:tab w:val="left" w:pos="4935"/>
        </w:tabs>
        <w:snapToGrid w:val="0"/>
        <w:jc w:val="center"/>
        <w:rPr>
          <w:rFonts w:ascii="黑体" w:hAnsi="黑体" w:eastAsia="黑体"/>
          <w:b/>
          <w:sz w:val="56"/>
          <w:szCs w:val="56"/>
        </w:rPr>
      </w:pPr>
    </w:p>
    <w:p>
      <w:pPr>
        <w:pStyle w:val="30"/>
      </w:pPr>
      <w:r>
        <w:rPr>
          <w:lang w:val="zh-CN"/>
        </w:rPr>
        <w:t>目录</w:t>
      </w:r>
      <w:bookmarkStart w:id="35" w:name="_GoBack"/>
      <w:bookmarkEnd w:id="35"/>
    </w:p>
    <w:p>
      <w:pPr>
        <w:pStyle w:val="16"/>
        <w:tabs>
          <w:tab w:val="right" w:leader="dot" w:pos="9746"/>
        </w:tabs>
        <w:ind w:left="560"/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"_Toc23452" </w:instrText>
      </w:r>
      <w:r>
        <w:fldChar w:fldCharType="separate"/>
      </w:r>
      <w:r>
        <w:rPr>
          <w:rFonts w:hint="eastAsia"/>
        </w:rPr>
        <w:t>1、 说明</w:t>
      </w:r>
      <w:r>
        <w:tab/>
      </w:r>
      <w:r>
        <w:fldChar w:fldCharType="begin"/>
      </w:r>
      <w:r>
        <w:instrText xml:space="preserve"> PAGEREF _Toc23452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746"/>
        </w:tabs>
        <w:ind w:left="560"/>
      </w:pPr>
      <w:r>
        <w:fldChar w:fldCharType="begin"/>
      </w:r>
      <w:r>
        <w:instrText xml:space="preserve"> HYPERLINK \l "_Toc2358" </w:instrText>
      </w:r>
      <w:r>
        <w:fldChar w:fldCharType="separate"/>
      </w:r>
      <w:r>
        <w:rPr>
          <w:rFonts w:hint="eastAsia"/>
        </w:rPr>
        <w:t>2.登录</w:t>
      </w:r>
      <w:r>
        <w:tab/>
      </w:r>
      <w:r>
        <w:fldChar w:fldCharType="begin"/>
      </w:r>
      <w:r>
        <w:instrText xml:space="preserve"> PAGEREF _Toc2358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746"/>
        </w:tabs>
        <w:ind w:left="1120"/>
      </w:pPr>
      <w:r>
        <w:fldChar w:fldCharType="begin"/>
      </w:r>
      <w:r>
        <w:instrText xml:space="preserve"> HYPERLINK \l "_Toc14203" </w:instrText>
      </w:r>
      <w:r>
        <w:fldChar w:fldCharType="separate"/>
      </w:r>
      <w:r>
        <w:rPr>
          <w:rFonts w:hint="eastAsia"/>
        </w:rPr>
        <w:t>2.1用户登录：</w:t>
      </w:r>
      <w:r>
        <w:tab/>
      </w:r>
      <w:r>
        <w:fldChar w:fldCharType="begin"/>
      </w:r>
      <w:r>
        <w:instrText xml:space="preserve"> PAGEREF _Toc14203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746"/>
        </w:tabs>
        <w:ind w:left="560"/>
      </w:pPr>
      <w:r>
        <w:fldChar w:fldCharType="begin"/>
      </w:r>
      <w:r>
        <w:instrText xml:space="preserve"> HYPERLINK \l "_Toc4320" </w:instrText>
      </w:r>
      <w:r>
        <w:fldChar w:fldCharType="separate"/>
      </w:r>
      <w:r>
        <w:rPr>
          <w:rFonts w:hint="eastAsia"/>
        </w:rPr>
        <w:t>2、系统使用</w:t>
      </w:r>
      <w:r>
        <w:tab/>
      </w:r>
      <w:r>
        <w:fldChar w:fldCharType="begin"/>
      </w:r>
      <w:r>
        <w:instrText xml:space="preserve"> PAGEREF _Toc4320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746"/>
        </w:tabs>
        <w:ind w:left="1120"/>
      </w:pPr>
      <w:r>
        <w:fldChar w:fldCharType="begin"/>
      </w:r>
      <w:r>
        <w:instrText xml:space="preserve"> HYPERLINK \l "_Toc31681" </w:instrText>
      </w:r>
      <w:r>
        <w:fldChar w:fldCharType="separate"/>
      </w:r>
      <w:r>
        <w:rPr>
          <w:rFonts w:hint="eastAsia"/>
        </w:rPr>
        <w:t>2.1新建发文</w:t>
      </w:r>
      <w:r>
        <w:tab/>
      </w:r>
      <w:r>
        <w:fldChar w:fldCharType="begin"/>
      </w:r>
      <w:r>
        <w:instrText xml:space="preserve"> PAGEREF _Toc31681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746"/>
        </w:tabs>
        <w:ind w:left="1120"/>
      </w:pPr>
      <w:r>
        <w:fldChar w:fldCharType="begin"/>
      </w:r>
      <w:r>
        <w:instrText xml:space="preserve"> HYPERLINK \l "_Toc10973" </w:instrText>
      </w:r>
      <w:r>
        <w:fldChar w:fldCharType="separate"/>
      </w:r>
      <w:r>
        <w:rPr>
          <w:rFonts w:hint="eastAsia"/>
        </w:rPr>
        <w:t>2.2已发公文</w:t>
      </w:r>
      <w:r>
        <w:tab/>
      </w:r>
      <w:r>
        <w:fldChar w:fldCharType="begin"/>
      </w:r>
      <w:r>
        <w:instrText xml:space="preserve"> PAGEREF _Toc10973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746"/>
        </w:tabs>
        <w:ind w:left="1120"/>
      </w:pPr>
      <w:r>
        <w:fldChar w:fldCharType="begin"/>
      </w:r>
      <w:r>
        <w:instrText xml:space="preserve"> HYPERLINK \l "_Toc3966" </w:instrText>
      </w:r>
      <w:r>
        <w:fldChar w:fldCharType="separate"/>
      </w:r>
      <w:r>
        <w:rPr>
          <w:rFonts w:hint="eastAsia"/>
        </w:rPr>
        <w:t>2.3未收公文</w:t>
      </w:r>
      <w:r>
        <w:tab/>
      </w:r>
      <w:r>
        <w:fldChar w:fldCharType="begin"/>
      </w:r>
      <w:r>
        <w:instrText xml:space="preserve"> PAGEREF _Toc3966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746"/>
        </w:tabs>
        <w:ind w:left="1120"/>
      </w:pPr>
      <w:r>
        <w:fldChar w:fldCharType="begin"/>
      </w:r>
      <w:r>
        <w:instrText xml:space="preserve"> HYPERLINK \l "_Toc2094" </w:instrText>
      </w:r>
      <w:r>
        <w:fldChar w:fldCharType="separate"/>
      </w:r>
      <w:r>
        <w:rPr>
          <w:rFonts w:hint="eastAsia"/>
        </w:rPr>
        <w:t>2.4已收公文</w:t>
      </w:r>
      <w:r>
        <w:tab/>
      </w:r>
      <w:r>
        <w:fldChar w:fldCharType="begin"/>
      </w:r>
      <w:r>
        <w:instrText xml:space="preserve"> PAGEREF _Toc2094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746"/>
        </w:tabs>
        <w:ind w:left="1120"/>
      </w:pPr>
      <w:r>
        <w:fldChar w:fldCharType="begin"/>
      </w:r>
      <w:r>
        <w:instrText xml:space="preserve"> HYPERLINK \l "_Toc29972" </w:instrText>
      </w:r>
      <w:r>
        <w:fldChar w:fldCharType="separate"/>
      </w:r>
      <w:r>
        <w:rPr>
          <w:rFonts w:hint="eastAsia"/>
        </w:rPr>
        <w:t>2.5单位人员</w:t>
      </w:r>
      <w:r>
        <w:tab/>
      </w:r>
      <w:r>
        <w:fldChar w:fldCharType="begin"/>
      </w:r>
      <w:r>
        <w:instrText xml:space="preserve"> PAGEREF _Toc29972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746"/>
        </w:tabs>
        <w:ind w:left="1120"/>
      </w:pPr>
      <w:r>
        <w:fldChar w:fldCharType="begin"/>
      </w:r>
      <w:r>
        <w:instrText xml:space="preserve"> HYPERLINK \l "_Toc2413" </w:instrText>
      </w:r>
      <w:r>
        <w:fldChar w:fldCharType="separate"/>
      </w:r>
      <w:r>
        <w:rPr>
          <w:rFonts w:hint="eastAsia"/>
        </w:rPr>
        <w:t>2.6</w:t>
      </w:r>
      <w:r>
        <w:t>打印申请的审核</w:t>
      </w:r>
      <w:r>
        <w:tab/>
      </w:r>
      <w:r>
        <w:fldChar w:fldCharType="begin"/>
      </w:r>
      <w:r>
        <w:instrText xml:space="preserve"> PAGEREF _Toc2413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746"/>
        </w:tabs>
        <w:ind w:left="1120"/>
      </w:pPr>
      <w:r>
        <w:fldChar w:fldCharType="begin"/>
      </w:r>
      <w:r>
        <w:instrText xml:space="preserve"> HYPERLINK \l "_Toc23411" </w:instrText>
      </w:r>
      <w:r>
        <w:fldChar w:fldCharType="separate"/>
      </w:r>
      <w:r>
        <w:rPr>
          <w:rFonts w:hint="eastAsia"/>
        </w:rPr>
        <w:t>2.</w:t>
      </w:r>
      <w:r>
        <w:t>7</w:t>
      </w:r>
      <w:r>
        <w:rPr>
          <w:rFonts w:hint="eastAsia"/>
        </w:rPr>
        <w:t>常用单位</w:t>
      </w:r>
      <w:r>
        <w:tab/>
      </w:r>
      <w:r>
        <w:fldChar w:fldCharType="begin"/>
      </w:r>
      <w:r>
        <w:instrText xml:space="preserve"> PAGEREF _Toc23411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746"/>
        </w:tabs>
        <w:ind w:left="1120"/>
      </w:pPr>
      <w:r>
        <w:fldChar w:fldCharType="begin"/>
      </w:r>
      <w:r>
        <w:instrText xml:space="preserve"> HYPERLINK \l "_Toc6045" </w:instrText>
      </w:r>
      <w:r>
        <w:fldChar w:fldCharType="separate"/>
      </w:r>
      <w:r>
        <w:rPr>
          <w:rFonts w:hint="eastAsia"/>
        </w:rPr>
        <w:t>2.8资源下载</w:t>
      </w:r>
      <w:r>
        <w:tab/>
      </w:r>
      <w:r>
        <w:fldChar w:fldCharType="begin"/>
      </w:r>
      <w:r>
        <w:instrText xml:space="preserve"> PAGEREF _Toc6045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746"/>
        </w:tabs>
        <w:ind w:left="560"/>
      </w:pPr>
      <w:r>
        <w:fldChar w:fldCharType="begin"/>
      </w:r>
      <w:r>
        <w:instrText xml:space="preserve"> HYPERLINK \l "_Toc28185" </w:instrText>
      </w:r>
      <w:r>
        <w:fldChar w:fldCharType="separate"/>
      </w:r>
      <w:r>
        <w:rPr>
          <w:rFonts w:hint="eastAsia"/>
        </w:rPr>
        <w:t>3.后台管理主要功能</w:t>
      </w:r>
      <w:r>
        <w:tab/>
      </w:r>
      <w:r>
        <w:fldChar w:fldCharType="begin"/>
      </w:r>
      <w:r>
        <w:instrText xml:space="preserve"> PAGEREF _Toc28185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746"/>
        </w:tabs>
        <w:ind w:left="1120"/>
      </w:pPr>
      <w:r>
        <w:fldChar w:fldCharType="begin"/>
      </w:r>
      <w:r>
        <w:instrText xml:space="preserve"> HYPERLINK \l "_Toc9384" </w:instrText>
      </w:r>
      <w:r>
        <w:fldChar w:fldCharType="separate"/>
      </w:r>
      <w:r>
        <w:rPr>
          <w:rFonts w:hint="eastAsia"/>
        </w:rPr>
        <w:t>3.1用户及单位管理</w:t>
      </w:r>
      <w:r>
        <w:tab/>
      </w:r>
      <w:r>
        <w:fldChar w:fldCharType="begin"/>
      </w:r>
      <w:r>
        <w:instrText xml:space="preserve"> PAGEREF _Toc9384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746"/>
        </w:tabs>
        <w:ind w:left="1120"/>
      </w:pPr>
      <w:r>
        <w:fldChar w:fldCharType="begin"/>
      </w:r>
      <w:r>
        <w:instrText xml:space="preserve"> HYPERLINK \l "_Toc549" </w:instrText>
      </w:r>
      <w:r>
        <w:fldChar w:fldCharType="separate"/>
      </w:r>
      <w:r>
        <w:rPr>
          <w:rFonts w:hint="eastAsia"/>
        </w:rPr>
        <w:t>3.2角色授权流程及审核流程</w:t>
      </w:r>
      <w:r>
        <w:tab/>
      </w:r>
      <w:r>
        <w:fldChar w:fldCharType="begin"/>
      </w:r>
      <w:r>
        <w:instrText xml:space="preserve"> PAGEREF _Toc549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r>
        <w:fldChar w:fldCharType="end"/>
      </w:r>
    </w:p>
    <w:p/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pStyle w:val="3"/>
        <w:numPr>
          <w:ilvl w:val="0"/>
          <w:numId w:val="1"/>
        </w:numPr>
        <w:spacing w:line="276" w:lineRule="auto"/>
      </w:pPr>
      <w:bookmarkStart w:id="0" w:name="_Toc23452"/>
      <w:bookmarkStart w:id="1" w:name="_Toc413830943"/>
      <w:bookmarkStart w:id="2" w:name="_Toc10650519"/>
      <w:r>
        <w:rPr>
          <w:rFonts w:hint="eastAsia"/>
        </w:rPr>
        <w:t>说明</w:t>
      </w:r>
      <w:bookmarkEnd w:id="0"/>
    </w:p>
    <w:p>
      <w:pPr>
        <w:bidi w:val="0"/>
        <w:rPr>
          <w:rFonts w:hint="default"/>
          <w:lang w:val="en-US"/>
        </w:rPr>
      </w:pPr>
      <w:bookmarkStart w:id="3" w:name="_Toc342841141"/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工艺文件交换系统是我司为实现在线并行设计、并行审批、设计协商而开发的专用工艺文件交换系统，可实现在同一集团下或不同公司之间工艺文件在线交换、打印监控、接收监控等功能。在保障工艺文件安全的基础上实现文件的共享和利用。系统主要有文件发送、文件接收、文件打印、接收情况监控、拒签、回复和会务报名功能。</w:t>
      </w:r>
    </w:p>
    <w:p>
      <w:pPr>
        <w:rPr>
          <w:rFonts w:hint="default" w:eastAsia="宋体"/>
          <w:lang w:val="en-US" w:eastAsia="zh-CN"/>
        </w:rPr>
      </w:pPr>
    </w:p>
    <w:p>
      <w:pPr>
        <w:pStyle w:val="3"/>
        <w:spacing w:line="276" w:lineRule="auto"/>
        <w:rPr>
          <w:szCs w:val="30"/>
        </w:rPr>
      </w:pPr>
      <w:bookmarkStart w:id="4" w:name="_Toc2358"/>
      <w:r>
        <w:rPr>
          <w:rFonts w:hint="eastAsia"/>
        </w:rPr>
        <w:t>2.登</w:t>
      </w:r>
      <w:bookmarkEnd w:id="1"/>
      <w:r>
        <w:rPr>
          <w:rFonts w:hint="eastAsia"/>
        </w:rPr>
        <w:t>录</w:t>
      </w:r>
      <w:bookmarkEnd w:id="2"/>
      <w:bookmarkEnd w:id="4"/>
    </w:p>
    <w:bookmarkEnd w:id="3"/>
    <w:p>
      <w:pPr>
        <w:pStyle w:val="4"/>
        <w:spacing w:line="276" w:lineRule="auto"/>
      </w:pPr>
      <w:bookmarkStart w:id="5" w:name="_Toc413830944"/>
      <w:bookmarkStart w:id="6" w:name="_Toc14203"/>
      <w:bookmarkStart w:id="7" w:name="_Toc10650520"/>
      <w:r>
        <w:rPr>
          <w:rFonts w:hint="eastAsia"/>
        </w:rPr>
        <w:t>2.1用户登录：</w:t>
      </w:r>
      <w:bookmarkEnd w:id="5"/>
      <w:bookmarkEnd w:id="6"/>
      <w:bookmarkEnd w:id="7"/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直接使用浏览器，输入服务器地址,打开这个网址会登录页面。可根据具体登录方式如单点登录、手机短信登录等方式，登录后进入到系统。</w:t>
      </w:r>
    </w:p>
    <w:p>
      <w:pPr>
        <w:pStyle w:val="6"/>
        <w:snapToGrid w:val="0"/>
        <w:spacing w:line="276" w:lineRule="auto"/>
        <w:ind w:firstLine="480"/>
        <w:jc w:val="center"/>
      </w:pPr>
      <w:r>
        <w:drawing>
          <wp:inline distT="0" distB="0" distL="0" distR="0">
            <wp:extent cx="6177280" cy="333184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7548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76" w:lineRule="auto"/>
      </w:pPr>
      <w:bookmarkStart w:id="8" w:name="_Toc413830946"/>
      <w:bookmarkStart w:id="9" w:name="_Toc4320"/>
      <w:bookmarkStart w:id="10" w:name="_Toc10650522"/>
      <w:r>
        <w:rPr>
          <w:rFonts w:hint="eastAsia"/>
        </w:rPr>
        <w:t>2、系统使用</w:t>
      </w:r>
      <w:bookmarkEnd w:id="8"/>
      <w:bookmarkEnd w:id="9"/>
      <w:bookmarkEnd w:id="10"/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系统首页主要分为几大模块：新建公文、已发公文、未收公文、已收公文、单位人员、密码修改、资源下载。</w:t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用户登录成功，进入系统首页</w:t>
      </w:r>
    </w:p>
    <w:p>
      <w:pPr>
        <w:pStyle w:val="6"/>
        <w:snapToGrid w:val="0"/>
        <w:spacing w:line="276" w:lineRule="auto"/>
        <w:ind w:firstLine="480"/>
      </w:pPr>
      <w:r>
        <w:drawing>
          <wp:inline distT="0" distB="0" distL="0" distR="0">
            <wp:extent cx="5607685" cy="302450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132" cy="302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4"/>
        <w:spacing w:line="276" w:lineRule="auto"/>
      </w:pPr>
      <w:bookmarkStart w:id="11" w:name="_Toc413830947"/>
      <w:bookmarkStart w:id="12" w:name="_Toc31681"/>
      <w:bookmarkStart w:id="13" w:name="_Toc10650523"/>
      <w:r>
        <w:rPr>
          <w:rFonts w:hint="eastAsia"/>
        </w:rPr>
        <w:t>2.1新建发文</w:t>
      </w:r>
      <w:bookmarkEnd w:id="11"/>
      <w:bookmarkEnd w:id="12"/>
      <w:bookmarkEnd w:id="13"/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用户登录系统后，点击功能栏“新建发文”按钮，打开“新建发文表单”，如图：</w:t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drawing>
          <wp:inline distT="0" distB="0" distL="0" distR="0">
            <wp:extent cx="6188710" cy="3168015"/>
            <wp:effectExtent l="0" t="0" r="8890" b="6985"/>
            <wp:docPr id="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选择发送单位有多种方式，首先通过“选择单位”按钮直接选择需要发送的单位。如下图：</w:t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drawing>
          <wp:inline distT="0" distB="0" distL="0" distR="0">
            <wp:extent cx="6169025" cy="3178810"/>
            <wp:effectExtent l="19050" t="0" r="292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9280" cy="317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然后，可以通过导入的方式进行选择，点击“导入”按钮，填写接受单位名称提交即可。（提醒：导入的方式需要按照规定的格式，并且接收单位的名称完全匹配）如下图：</w:t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drawing>
          <wp:inline distT="0" distB="0" distL="0" distR="0">
            <wp:extent cx="5233035" cy="1781810"/>
            <wp:effectExtent l="19050" t="0" r="5267" b="0"/>
            <wp:docPr id="5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483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点击“选择附件”按钮选择需要发送的文件，文件最大上传5M，格式如下</w:t>
      </w:r>
    </w:p>
    <w:p>
      <w:pPr>
        <w:pStyle w:val="6"/>
        <w:snapToGrid w:val="0"/>
        <w:spacing w:line="276" w:lineRule="auto"/>
        <w:ind w:firstLine="400"/>
      </w:pPr>
      <w:r>
        <w:rPr>
          <w:rFonts w:hint="eastAsia" w:ascii="Courier New" w:hAnsi="Courier New"/>
          <w:color w:val="000000"/>
          <w:sz w:val="20"/>
        </w:rPr>
        <w:t>（*.txt;*.jpg;*.png;*.gif;*.doc;*.docx;*.pdf;*.wps;*.jpeg;*.xls;*.xlsx;*.et;*.wpt;*.dot;*.rtf;*.dps;*.dpt;*.ppt;*.pot;*.pps;*.ett;*.xlt）</w:t>
      </w:r>
      <w:r>
        <w:rPr>
          <w:rFonts w:hint="eastAsia"/>
        </w:rPr>
        <w:t>，如文件过大，可以将文件拆分成几个小文件再上传。</w:t>
      </w: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市委办、市政府办等个别单位在发送公文的同时可以发送短信提醒。</w:t>
      </w:r>
    </w:p>
    <w:p>
      <w:pPr>
        <w:pStyle w:val="6"/>
        <w:snapToGrid w:val="0"/>
        <w:spacing w:line="276" w:lineRule="auto"/>
        <w:ind w:firstLine="480"/>
      </w:pPr>
    </w:p>
    <w:p>
      <w:pPr>
        <w:pStyle w:val="4"/>
        <w:spacing w:line="276" w:lineRule="auto"/>
      </w:pPr>
      <w:bookmarkStart w:id="14" w:name="_Toc413830948"/>
      <w:bookmarkStart w:id="15" w:name="_Toc10650524"/>
      <w:bookmarkStart w:id="16" w:name="_Toc10973"/>
      <w:r>
        <w:rPr>
          <w:rFonts w:hint="eastAsia"/>
        </w:rPr>
        <w:t>2.2已发</w:t>
      </w:r>
      <w:bookmarkEnd w:id="14"/>
      <w:r>
        <w:rPr>
          <w:rFonts w:hint="eastAsia"/>
        </w:rPr>
        <w:t>公文</w:t>
      </w:r>
      <w:bookmarkEnd w:id="15"/>
      <w:bookmarkEnd w:id="16"/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用户登录系统后，点击功能栏“已发公文”选项，打开“已发公文”，进入已发公文列表，此列表包含当前账号所发送的公文。如下图：</w:t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drawing>
          <wp:inline distT="0" distB="0" distL="0" distR="0">
            <wp:extent cx="6188710" cy="1200785"/>
            <wp:effectExtent l="19050" t="0" r="254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0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可以根据</w:t>
      </w:r>
      <w:r>
        <w:t>”</w:t>
      </w:r>
      <w:r>
        <w:rPr>
          <w:rFonts w:hint="eastAsia"/>
        </w:rPr>
        <w:t>标题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发送时间</w:t>
      </w:r>
      <w:r>
        <w:t>”</w:t>
      </w:r>
      <w:r>
        <w:rPr>
          <w:rFonts w:hint="eastAsia"/>
        </w:rPr>
        <w:t>进行查询。</w:t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点击文件标题进入公文详情页面，点击“补发”按钮对公文进行补发（提示：已发单位不可进行补发）。如下图：</w:t>
      </w: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480"/>
      </w:pPr>
      <w:r>
        <w:drawing>
          <wp:inline distT="0" distB="0" distL="0" distR="0">
            <wp:extent cx="6147435" cy="2876550"/>
            <wp:effectExtent l="19050" t="0" r="5176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7974" cy="28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“已发公文”列表可以查看接收单位的接收情况，在列表点击“接收情况”即可进入，如下图：</w:t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drawing>
          <wp:inline distT="0" distB="0" distL="0" distR="0">
            <wp:extent cx="6188710" cy="1263015"/>
            <wp:effectExtent l="0" t="0" r="8890" b="6985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6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进入接收情况列表，可以通过“查看所有”（所有接收单位）、“查看未收”（未收单位）、“查看已收”（已收单位）、“查看退回”（拒签单位）等按钮查看接收情况，如下图：</w:t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drawing>
          <wp:inline distT="0" distB="0" distL="0" distR="0">
            <wp:extent cx="6062980" cy="1520190"/>
            <wp:effectExtent l="19050" t="0" r="0" b="0"/>
            <wp:docPr id="2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3357" cy="152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Chars="0"/>
      </w:pPr>
      <w:r>
        <w:rPr>
          <w:rFonts w:hint="eastAsia"/>
        </w:rPr>
        <w:t>“已发公文”列表页，点击“查看回复”，即可进入接收单位回复列表，</w:t>
      </w:r>
    </w:p>
    <w:p>
      <w:pPr>
        <w:pStyle w:val="6"/>
        <w:snapToGrid w:val="0"/>
        <w:spacing w:line="276" w:lineRule="auto"/>
        <w:ind w:firstLineChars="0"/>
      </w:pPr>
      <w:r>
        <w:rPr>
          <w:rFonts w:hint="eastAsia"/>
        </w:rPr>
        <w:t>如下图：</w:t>
      </w:r>
    </w:p>
    <w:p>
      <w:pPr>
        <w:pStyle w:val="6"/>
        <w:snapToGrid w:val="0"/>
        <w:spacing w:line="276" w:lineRule="auto"/>
        <w:ind w:firstLine="0" w:firstLineChars="0"/>
      </w:pPr>
      <w:r>
        <w:drawing>
          <wp:inline distT="0" distB="0" distL="0" distR="0">
            <wp:extent cx="5211445" cy="2114550"/>
            <wp:effectExtent l="19050" t="0" r="8177" b="0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1523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0" w:firstLineChars="0"/>
      </w:pPr>
      <w:r>
        <w:rPr>
          <w:rFonts w:hint="eastAsia"/>
        </w:rPr>
        <w:t>进入回复列表页面，点击“导出回复内容”，导出接收单位回复的内容到Excel表里，如果接收单位回复附件，可点击附件名称进行查看，如下图：</w:t>
      </w:r>
    </w:p>
    <w:p>
      <w:pPr>
        <w:pStyle w:val="6"/>
        <w:snapToGrid w:val="0"/>
        <w:spacing w:line="276" w:lineRule="auto"/>
        <w:ind w:firstLine="0" w:firstLineChars="0"/>
      </w:pPr>
      <w:r>
        <w:drawing>
          <wp:inline distT="0" distB="0" distL="0" distR="0">
            <wp:extent cx="6188710" cy="842010"/>
            <wp:effectExtent l="0" t="0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4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  <w:r>
        <w:rPr>
          <w:rFonts w:hint="eastAsia"/>
        </w:rPr>
        <w:t>“已发公文”列表，点击“报名人员”即可进入报名人员列表页面，查看接收单位的报名情况，如下图：</w:t>
      </w:r>
    </w:p>
    <w:p>
      <w:pPr>
        <w:pStyle w:val="6"/>
        <w:snapToGrid w:val="0"/>
        <w:spacing w:line="276" w:lineRule="auto"/>
        <w:ind w:firstLine="0" w:firstLineChars="0"/>
      </w:pPr>
      <w:r>
        <w:drawing>
          <wp:inline distT="0" distB="0" distL="0" distR="0">
            <wp:extent cx="5211445" cy="2124075"/>
            <wp:effectExtent l="19050" t="0" r="7763" b="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1937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  <w:r>
        <w:rPr>
          <w:rFonts w:hint="eastAsia"/>
        </w:rPr>
        <w:t>进入报名人员列表页面，点击 “报名单位”（查看已报名的单位）、“未报名单位”（接收单位没报名的单位）、“继续报名”（可以继续报名）、“终止报名”（终止对此公文的报名，接收单位不能再继续报名）、“导出报名”（导出报名人员到Excel里），如下图：</w:t>
      </w:r>
    </w:p>
    <w:p>
      <w:pPr>
        <w:pStyle w:val="6"/>
        <w:snapToGrid w:val="0"/>
        <w:spacing w:line="276" w:lineRule="auto"/>
        <w:ind w:firstLine="0" w:firstLineChars="0"/>
      </w:pPr>
      <w:r>
        <w:drawing>
          <wp:inline distT="0" distB="0" distL="0" distR="0">
            <wp:extent cx="5220335" cy="2114550"/>
            <wp:effectExtent l="19050" t="0" r="0" b="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88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  <w:r>
        <w:t>“</w:t>
      </w:r>
      <w:r>
        <w:rPr>
          <w:rFonts w:hint="eastAsia"/>
        </w:rPr>
        <w:t>已发公文</w:t>
      </w:r>
      <w:r>
        <w:t>”</w:t>
      </w:r>
      <w:r>
        <w:rPr>
          <w:rFonts w:hint="eastAsia"/>
        </w:rPr>
        <w:t>列表，点击“短信催收”按钮对未签收公文的单位进行短信催收，如下图：（短信提示功能仅个别单位具有该功能）</w:t>
      </w:r>
    </w:p>
    <w:p>
      <w:pPr>
        <w:pStyle w:val="6"/>
        <w:snapToGrid w:val="0"/>
        <w:spacing w:line="276" w:lineRule="auto"/>
        <w:ind w:firstLine="0" w:firstLineChars="0"/>
      </w:pPr>
      <w:r>
        <w:drawing>
          <wp:inline distT="0" distB="0" distL="0" distR="0">
            <wp:extent cx="5211445" cy="2124075"/>
            <wp:effectExtent l="19050" t="0" r="7763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1937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4"/>
        <w:spacing w:line="276" w:lineRule="auto"/>
      </w:pPr>
      <w:bookmarkStart w:id="17" w:name="_Toc10650525"/>
      <w:bookmarkStart w:id="18" w:name="_Toc3966"/>
      <w:r>
        <w:rPr>
          <w:rFonts w:hint="eastAsia"/>
        </w:rPr>
        <w:t>2.3未收公文</w:t>
      </w:r>
      <w:bookmarkEnd w:id="17"/>
      <w:bookmarkEnd w:id="18"/>
    </w:p>
    <w:p/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用户登录系统后，点击功能栏“未收公文”选项，打开“未收公文”，进入未收公文列表，此列表包含当前账号未收的公文。如下图：</w:t>
      </w:r>
    </w:p>
    <w:p>
      <w:pPr>
        <w:pStyle w:val="6"/>
        <w:snapToGrid w:val="0"/>
        <w:spacing w:line="276" w:lineRule="auto"/>
        <w:ind w:firstLine="480"/>
      </w:pPr>
      <w:r>
        <w:drawing>
          <wp:inline distT="0" distB="0" distL="0" distR="0">
            <wp:extent cx="6028055" cy="100457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8578" cy="100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可以根据“标题”，“发送时间”进行查询。</w:t>
      </w: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“未收公文列表”，点击文件“标题”进入公文详情页面，如下图：</w:t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drawing>
          <wp:inline distT="0" distB="0" distL="0" distR="0">
            <wp:extent cx="6160135" cy="316484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0312" cy="3164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点击“报名”按钮可以对此公文进行报名（提醒：报名首先需要添加报名人员，可以在“单位人员”模块进行添加，也可在报名时，通过“选择报名人”时进行新增），如下图：</w:t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0" w:firstLineChars="0"/>
      </w:pPr>
      <w:r>
        <w:drawing>
          <wp:inline distT="0" distB="0" distL="0" distR="0">
            <wp:extent cx="5211445" cy="2114550"/>
            <wp:effectExtent l="19050" t="0" r="8177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1523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  <w:r>
        <w:drawing>
          <wp:inline distT="0" distB="0" distL="0" distR="0">
            <wp:extent cx="5212080" cy="2133600"/>
            <wp:effectExtent l="19050" t="0" r="7353" b="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2347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  <w:r>
        <w:rPr>
          <w:rFonts w:hint="eastAsia"/>
        </w:rPr>
        <w:t>点击“回复”按钮进入回复页面，如下图：</w:t>
      </w:r>
    </w:p>
    <w:p>
      <w:pPr>
        <w:pStyle w:val="6"/>
        <w:snapToGrid w:val="0"/>
        <w:spacing w:line="276" w:lineRule="auto"/>
        <w:ind w:firstLine="0" w:firstLineChars="0"/>
      </w:pPr>
      <w:r>
        <w:drawing>
          <wp:inline distT="0" distB="0" distL="0" distR="0">
            <wp:extent cx="5210810" cy="2105025"/>
            <wp:effectExtent l="19050" t="0" r="8594" b="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1106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0" w:firstLineChars="0"/>
      </w:pPr>
      <w:r>
        <w:rPr>
          <w:rFonts w:hint="eastAsia"/>
        </w:rPr>
        <w:t>表单填写完毕，点击“回复”即可进行回复。</w:t>
      </w: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  <w:r>
        <w:rPr>
          <w:rFonts w:hint="eastAsia"/>
        </w:rPr>
        <w:t>点击“拒签”按钮进入拒签页面，如下图：</w:t>
      </w: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6"/>
        <w:snapToGrid w:val="0"/>
        <w:spacing w:line="276" w:lineRule="auto"/>
        <w:ind w:firstLine="0" w:firstLineChars="0"/>
      </w:pPr>
      <w:r>
        <w:drawing>
          <wp:inline distT="0" distB="0" distL="0" distR="0">
            <wp:extent cx="5212715" cy="2143125"/>
            <wp:effectExtent l="19050" t="0" r="6947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2753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0" w:firstLineChars="0"/>
      </w:pPr>
      <w:r>
        <w:rPr>
          <w:rFonts w:hint="eastAsia"/>
        </w:rPr>
        <w:t>表单填写完毕，点击“拒签”即可。</w:t>
      </w:r>
    </w:p>
    <w:p>
      <w:pPr>
        <w:pStyle w:val="6"/>
        <w:snapToGrid w:val="0"/>
        <w:spacing w:line="276" w:lineRule="auto"/>
        <w:ind w:firstLine="720" w:firstLineChars="300"/>
      </w:pPr>
      <w:r>
        <w:rPr>
          <w:rFonts w:hint="eastAsia"/>
        </w:rPr>
        <w:t>点击签收按钮可以进行签收，签收之后才能查看正文内容以及下载附件，点击拒签可以拒绝签收。</w:t>
      </w:r>
    </w:p>
    <w:p>
      <w:pPr>
        <w:pStyle w:val="6"/>
        <w:snapToGrid w:val="0"/>
        <w:spacing w:line="276" w:lineRule="auto"/>
        <w:ind w:firstLine="0" w:firstLineChars="0"/>
      </w:pPr>
    </w:p>
    <w:p>
      <w:pPr>
        <w:pStyle w:val="4"/>
        <w:spacing w:line="276" w:lineRule="auto"/>
      </w:pPr>
      <w:bookmarkStart w:id="19" w:name="_Toc10650526"/>
      <w:bookmarkStart w:id="20" w:name="_Toc2094"/>
      <w:r>
        <w:rPr>
          <w:rFonts w:hint="eastAsia"/>
        </w:rPr>
        <w:t>2.4已收公文</w:t>
      </w:r>
      <w:bookmarkEnd w:id="19"/>
      <w:bookmarkEnd w:id="20"/>
    </w:p>
    <w:p/>
    <w:p>
      <w:p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用户登录系统后，点击功能栏“已收公文”选项，打开“已收公文”，进入已收公文列表，此列表包含当前账号所有已收的公文，如下图：</w:t>
      </w:r>
    </w:p>
    <w:p>
      <w:pPr>
        <w:rPr>
          <w:sz w:val="24"/>
          <w:szCs w:val="24"/>
        </w:rPr>
      </w:pPr>
    </w:p>
    <w:p>
      <w:r>
        <w:rPr>
          <w:sz w:val="24"/>
          <w:szCs w:val="24"/>
        </w:rPr>
        <w:drawing>
          <wp:inline distT="0" distB="0" distL="0" distR="0">
            <wp:extent cx="6188710" cy="1285240"/>
            <wp:effectExtent l="0" t="0" r="8890" b="1016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8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可以通过”标题”、”发送时间”进行查询。</w:t>
      </w:r>
    </w:p>
    <w:p>
      <w:pPr>
        <w:wordWrap w:val="0"/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点击公文“标题”进入到公文详情页，在详情页可以点击正文名称查看正文，点击回复按钮进行回复，</w:t>
      </w:r>
      <w:r>
        <w:rPr>
          <w:rFonts w:ascii="微软雅黑" w:hAnsi="微软雅黑" w:eastAsia="微软雅黑" w:cs="微软雅黑"/>
          <w:sz w:val="24"/>
          <w:szCs w:val="24"/>
        </w:rPr>
        <w:t xml:space="preserve"> 正文的可打印次数是受控制的，如果打印次数用尽，需要点击申请打印按钮，向公文的发送单位提出打印申请，在申请单位审核通过之后，可以进行额外的打印操作。</w:t>
      </w:r>
    </w:p>
    <w:p>
      <w:pPr>
        <w:pStyle w:val="6"/>
        <w:snapToGrid w:val="0"/>
        <w:spacing w:line="276" w:lineRule="auto"/>
        <w:ind w:firstLine="0" w:firstLineChars="0"/>
      </w:pPr>
    </w:p>
    <w:p/>
    <w:p/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480"/>
      </w:pPr>
      <w:r>
        <w:drawing>
          <wp:inline distT="0" distB="0" distL="0" distR="0">
            <wp:extent cx="6188710" cy="3067050"/>
            <wp:effectExtent l="0" t="0" r="889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wordWrap w:val="0"/>
        <w:snapToGrid w:val="0"/>
        <w:spacing w:line="276" w:lineRule="auto"/>
        <w:ind w:firstLine="480"/>
      </w:pPr>
      <w:r>
        <w:rPr>
          <w:rFonts w:hint="eastAsia"/>
        </w:rPr>
        <w:t>点击正文名称，可以在线打开正文：</w:t>
      </w:r>
    </w:p>
    <w:p>
      <w:pPr>
        <w:pStyle w:val="6"/>
        <w:snapToGrid w:val="0"/>
        <w:spacing w:line="276" w:lineRule="auto"/>
        <w:ind w:firstLine="480"/>
      </w:pPr>
      <w:r>
        <w:drawing>
          <wp:inline distT="0" distB="0" distL="0" distR="0">
            <wp:extent cx="6188710" cy="2985135"/>
            <wp:effectExtent l="0" t="0" r="8890" b="1206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85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76" w:lineRule="auto"/>
      </w:pPr>
      <w:bookmarkStart w:id="21" w:name="_Toc29972"/>
      <w:bookmarkStart w:id="22" w:name="_Toc10650527"/>
      <w:r>
        <w:rPr>
          <w:rFonts w:hint="eastAsia"/>
        </w:rPr>
        <w:t>2.5单位人员</w:t>
      </w:r>
      <w:bookmarkEnd w:id="21"/>
      <w:bookmarkEnd w:id="22"/>
    </w:p>
    <w:p/>
    <w:p>
      <w:pPr>
        <w:pStyle w:val="6"/>
        <w:snapToGrid w:val="0"/>
        <w:spacing w:line="276" w:lineRule="auto"/>
        <w:ind w:firstLine="480"/>
        <w:rPr>
          <w:rFonts w:ascii="微软雅黑" w:hAnsi="微软雅黑" w:cs="微软雅黑"/>
          <w:szCs w:val="24"/>
        </w:rPr>
      </w:pPr>
      <w:r>
        <w:rPr>
          <w:rFonts w:hint="eastAsia" w:ascii="微软雅黑" w:hAnsi="微软雅黑" w:cs="微软雅黑"/>
          <w:szCs w:val="24"/>
        </w:rPr>
        <w:t>用户登录系统后，点击功能栏“单位人员”选项，打开“单位人员”，进入单位人员列表，此列表人员供“报名”时使用，如下图：</w:t>
      </w:r>
    </w:p>
    <w:p>
      <w:pPr>
        <w:pStyle w:val="6"/>
        <w:snapToGrid w:val="0"/>
        <w:spacing w:line="276" w:lineRule="auto"/>
        <w:ind w:firstLine="480"/>
        <w:rPr>
          <w:rFonts w:ascii="微软雅黑" w:hAnsi="微软雅黑" w:cs="微软雅黑"/>
          <w:szCs w:val="24"/>
        </w:rPr>
      </w:pPr>
    </w:p>
    <w:p>
      <w:pPr>
        <w:pStyle w:val="6"/>
        <w:snapToGrid w:val="0"/>
        <w:spacing w:line="276" w:lineRule="auto"/>
        <w:ind w:firstLine="480"/>
        <w:rPr>
          <w:rFonts w:ascii="微软雅黑" w:hAnsi="微软雅黑" w:cs="微软雅黑"/>
          <w:szCs w:val="24"/>
        </w:rPr>
      </w:pPr>
    </w:p>
    <w:p>
      <w:pPr>
        <w:pStyle w:val="6"/>
        <w:snapToGrid w:val="0"/>
        <w:spacing w:line="276" w:lineRule="auto"/>
        <w:ind w:firstLine="480"/>
      </w:pPr>
      <w:r>
        <w:drawing>
          <wp:inline distT="0" distB="0" distL="0" distR="0">
            <wp:extent cx="5196205" cy="1819275"/>
            <wp:effectExtent l="19050" t="0" r="4055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659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480"/>
      </w:pPr>
    </w:p>
    <w:p>
      <w:pPr>
        <w:pStyle w:val="6"/>
        <w:snapToGrid w:val="0"/>
        <w:spacing w:line="276" w:lineRule="auto"/>
        <w:ind w:firstLine="0" w:firstLineChars="0"/>
      </w:pPr>
      <w:r>
        <w:rPr>
          <w:rFonts w:hint="eastAsia"/>
        </w:rPr>
        <w:t>点击“新增”按钮进入添加人员表单页，如下图：</w:t>
      </w:r>
    </w:p>
    <w:p>
      <w:pPr>
        <w:pStyle w:val="6"/>
        <w:snapToGrid w:val="0"/>
        <w:spacing w:line="276" w:lineRule="auto"/>
        <w:ind w:firstLine="480"/>
      </w:pPr>
      <w:r>
        <w:drawing>
          <wp:inline distT="0" distB="0" distL="0" distR="0">
            <wp:extent cx="5211445" cy="2114550"/>
            <wp:effectExtent l="19050" t="0" r="8177" b="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1523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表单填写完毕后，点击“保存”按钮，即可添加。</w:t>
      </w: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选中需要删除的人员，点击“删除”即可对人员进行删除。</w:t>
      </w: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点击人员名称，进入人员修改页面，如下图：</w:t>
      </w:r>
    </w:p>
    <w:p>
      <w:pPr>
        <w:pStyle w:val="6"/>
        <w:snapToGrid w:val="0"/>
        <w:spacing w:line="276" w:lineRule="auto"/>
        <w:ind w:firstLine="480"/>
      </w:pPr>
      <w:r>
        <w:drawing>
          <wp:inline distT="0" distB="0" distL="0" distR="0">
            <wp:extent cx="5211445" cy="2124075"/>
            <wp:effectExtent l="19050" t="0" r="7763" b="0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1937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spacing w:line="276" w:lineRule="auto"/>
        <w:ind w:firstLine="480"/>
      </w:pPr>
      <w:r>
        <w:rPr>
          <w:rFonts w:hint="eastAsia"/>
        </w:rPr>
        <w:t>表单填写完毕后，即可对人员进行修改。</w:t>
      </w:r>
    </w:p>
    <w:p>
      <w:pPr>
        <w:pStyle w:val="6"/>
        <w:snapToGrid w:val="0"/>
        <w:spacing w:line="276" w:lineRule="auto"/>
        <w:ind w:firstLine="480"/>
      </w:pPr>
    </w:p>
    <w:p>
      <w:pPr>
        <w:pStyle w:val="4"/>
        <w:wordWrap w:val="0"/>
        <w:spacing w:line="276" w:lineRule="auto"/>
      </w:pPr>
      <w:bookmarkStart w:id="23" w:name="_Toc99807493"/>
      <w:bookmarkStart w:id="24" w:name="_Toc2413"/>
      <w:r>
        <w:rPr>
          <w:rFonts w:hint="eastAsia"/>
        </w:rPr>
        <w:t>2.6</w:t>
      </w:r>
      <w:r>
        <w:t>打印申请的审核</w:t>
      </w:r>
      <w:bookmarkEnd w:id="23"/>
      <w:bookmarkEnd w:id="24"/>
    </w:p>
    <w:p>
      <w:pPr>
        <w:pStyle w:val="6"/>
        <w:wordWrap w:val="0"/>
        <w:snapToGrid w:val="0"/>
        <w:spacing w:line="276" w:lineRule="auto"/>
        <w:ind w:firstLine="480"/>
        <w:rPr>
          <w:rFonts w:ascii="微软雅黑" w:hAnsi="微软雅黑" w:cs="微软雅黑"/>
          <w:szCs w:val="24"/>
        </w:rPr>
      </w:pPr>
      <w:r>
        <w:rPr>
          <w:rFonts w:hint="eastAsia" w:ascii="微软雅黑" w:hAnsi="微软雅黑" w:cs="微软雅黑"/>
          <w:szCs w:val="24"/>
        </w:rPr>
        <w:tab/>
      </w:r>
      <w:r>
        <w:rPr>
          <w:rFonts w:hint="eastAsia" w:ascii="微软雅黑" w:hAnsi="微软雅黑" w:cs="微软雅黑"/>
          <w:szCs w:val="24"/>
        </w:rPr>
        <w:t>当公文的接收单位耗尽公文限制打印次数之后，可以在公文详细内容页面，通过申请打印按钮向公文发送单位提出打印申请，已发出或者受到的打印申请，可以通过打印申请相关菜单，查看审核状态以及进行审核操作。</w:t>
      </w:r>
    </w:p>
    <w:p>
      <w:pPr>
        <w:pStyle w:val="6"/>
        <w:wordWrap w:val="0"/>
        <w:snapToGrid w:val="0"/>
        <w:spacing w:line="276" w:lineRule="auto"/>
        <w:ind w:firstLine="0" w:firstLineChars="0"/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/>
          <w:szCs w:val="24"/>
        </w:rPr>
        <w:drawing>
          <wp:inline distT="0" distB="0" distL="0" distR="0">
            <wp:extent cx="6131560" cy="2231390"/>
            <wp:effectExtent l="19050" t="0" r="2317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1783" cy="223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wordWrap w:val="0"/>
        <w:snapToGrid w:val="0"/>
        <w:spacing w:line="276" w:lineRule="auto"/>
        <w:ind w:firstLine="480"/>
        <w:rPr>
          <w:rFonts w:ascii="微软雅黑" w:hAnsi="微软雅黑" w:cs="微软雅黑"/>
          <w:szCs w:val="24"/>
        </w:rPr>
      </w:pPr>
    </w:p>
    <w:p>
      <w:pPr>
        <w:pStyle w:val="4"/>
        <w:wordWrap w:val="0"/>
        <w:spacing w:line="276" w:lineRule="auto"/>
      </w:pPr>
      <w:bookmarkStart w:id="25" w:name="_Toc10650528"/>
      <w:bookmarkStart w:id="26" w:name="_Toc23411"/>
      <w:bookmarkStart w:id="27" w:name="_Toc99807494"/>
      <w:r>
        <w:rPr>
          <w:rFonts w:hint="eastAsia"/>
        </w:rPr>
        <w:t>2.</w:t>
      </w:r>
      <w:r>
        <w:t>7</w:t>
      </w:r>
      <w:bookmarkEnd w:id="25"/>
      <w:r>
        <w:rPr>
          <w:rFonts w:hint="eastAsia"/>
        </w:rPr>
        <w:t>常用单位</w:t>
      </w:r>
      <w:bookmarkEnd w:id="26"/>
      <w:bookmarkEnd w:id="27"/>
    </w:p>
    <w:p>
      <w:pPr>
        <w:pStyle w:val="6"/>
        <w:wordWrap w:val="0"/>
        <w:snapToGrid w:val="0"/>
        <w:spacing w:line="276" w:lineRule="auto"/>
        <w:ind w:firstLine="480"/>
        <w:rPr>
          <w:rFonts w:ascii="微软雅黑" w:hAnsi="微软雅黑" w:cs="微软雅黑"/>
          <w:szCs w:val="24"/>
        </w:rPr>
      </w:pPr>
      <w:r>
        <w:rPr>
          <w:rFonts w:hint="eastAsia" w:ascii="微软雅黑" w:hAnsi="微软雅黑" w:cs="微软雅黑"/>
          <w:szCs w:val="24"/>
        </w:rPr>
        <w:t>点击功能栏“常用单位”选项，可以看到当前常用单位的列表，点击常用单位的名称，可以进行详情页面进行修改操作，如下图：</w:t>
      </w:r>
    </w:p>
    <w:p>
      <w:pPr>
        <w:pStyle w:val="6"/>
        <w:wordWrap w:val="0"/>
        <w:snapToGrid w:val="0"/>
        <w:spacing w:line="276" w:lineRule="auto"/>
        <w:ind w:firstLine="0" w:firstLineChars="0"/>
        <w:rPr>
          <w:rFonts w:ascii="微软雅黑" w:hAnsi="微软雅黑" w:cs="微软雅黑"/>
          <w:szCs w:val="24"/>
        </w:rPr>
      </w:pPr>
      <w:r>
        <w:rPr>
          <w:rFonts w:ascii="微软雅黑" w:hAnsi="微软雅黑" w:cs="微软雅黑"/>
          <w:szCs w:val="24"/>
        </w:rPr>
        <w:drawing>
          <wp:inline distT="0" distB="0" distL="0" distR="0">
            <wp:extent cx="6081395" cy="14319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1656" cy="143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wordWrap w:val="0"/>
        <w:snapToGrid w:val="0"/>
        <w:spacing w:line="276" w:lineRule="auto"/>
        <w:ind w:firstLine="480"/>
        <w:rPr>
          <w:rFonts w:ascii="微软雅黑" w:hAnsi="微软雅黑" w:cs="微软雅黑"/>
          <w:szCs w:val="24"/>
        </w:rPr>
      </w:pPr>
      <w:r>
        <w:rPr>
          <w:rFonts w:hint="eastAsia" w:ascii="微软雅黑" w:hAnsi="微软雅黑" w:cs="微软雅黑"/>
          <w:szCs w:val="24"/>
        </w:rPr>
        <w:t>常用单位在配置好之后，在新建公文页面，可以通过常用单位按钮，选择配置的单位组合，批量发给一组单位。</w:t>
      </w:r>
    </w:p>
    <w:p>
      <w:pPr>
        <w:pStyle w:val="6"/>
        <w:wordWrap w:val="0"/>
        <w:snapToGrid w:val="0"/>
        <w:spacing w:line="276" w:lineRule="auto"/>
        <w:ind w:firstLine="0" w:firstLineChars="0"/>
        <w:rPr>
          <w:rFonts w:ascii="微软雅黑" w:hAnsi="微软雅黑" w:cs="微软雅黑"/>
          <w:szCs w:val="24"/>
        </w:rPr>
      </w:pPr>
      <w:r>
        <w:rPr>
          <w:rFonts w:hint="eastAsia" w:ascii="微软雅黑" w:hAnsi="微软雅黑" w:cs="微软雅黑"/>
          <w:szCs w:val="24"/>
        </w:rPr>
        <w:drawing>
          <wp:inline distT="0" distB="0" distL="0" distR="0">
            <wp:extent cx="6144260" cy="2780665"/>
            <wp:effectExtent l="19050" t="0" r="8681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4469" cy="2780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wordWrap w:val="0"/>
        <w:snapToGrid w:val="0"/>
        <w:spacing w:line="276" w:lineRule="auto"/>
        <w:ind w:firstLine="480"/>
        <w:rPr>
          <w:rFonts w:ascii="微软雅黑" w:hAnsi="微软雅黑" w:cs="微软雅黑"/>
          <w:szCs w:val="24"/>
        </w:rPr>
      </w:pPr>
    </w:p>
    <w:p>
      <w:pPr>
        <w:wordWrap w:val="0"/>
      </w:pPr>
    </w:p>
    <w:p>
      <w:pPr>
        <w:pStyle w:val="6"/>
        <w:snapToGrid w:val="0"/>
        <w:spacing w:line="276" w:lineRule="auto"/>
        <w:ind w:firstLine="0" w:firstLineChars="0"/>
        <w:rPr>
          <w:rFonts w:ascii="微软雅黑" w:hAnsi="微软雅黑" w:cs="微软雅黑"/>
          <w:szCs w:val="24"/>
        </w:rPr>
      </w:pPr>
    </w:p>
    <w:p>
      <w:pPr>
        <w:pStyle w:val="6"/>
        <w:snapToGrid w:val="0"/>
        <w:spacing w:line="276" w:lineRule="auto"/>
        <w:ind w:firstLine="480"/>
      </w:pPr>
    </w:p>
    <w:p>
      <w:pPr>
        <w:pStyle w:val="4"/>
        <w:spacing w:line="276" w:lineRule="auto"/>
      </w:pPr>
      <w:bookmarkStart w:id="28" w:name="_Toc10650529"/>
      <w:bookmarkStart w:id="29" w:name="_Toc6045"/>
      <w:r>
        <w:rPr>
          <w:rFonts w:hint="eastAsia"/>
        </w:rPr>
        <w:t>2.8资源下载</w:t>
      </w:r>
      <w:bookmarkEnd w:id="28"/>
      <w:bookmarkEnd w:id="29"/>
    </w:p>
    <w:p/>
    <w:p>
      <w:pPr>
        <w:pStyle w:val="6"/>
        <w:snapToGrid w:val="0"/>
        <w:spacing w:line="276" w:lineRule="auto"/>
        <w:ind w:firstLine="480"/>
        <w:rPr>
          <w:rFonts w:ascii="微软雅黑" w:hAnsi="微软雅黑" w:cs="微软雅黑"/>
          <w:szCs w:val="24"/>
        </w:rPr>
      </w:pPr>
      <w:r>
        <w:rPr>
          <w:rFonts w:hint="eastAsia" w:ascii="微软雅黑" w:hAnsi="微软雅黑" w:cs="微软雅黑"/>
          <w:szCs w:val="24"/>
        </w:rPr>
        <w:t>用户登录系统后，点击功能栏“资源下载”选项，进入另一个网页地址，下载需要的文件，</w:t>
      </w:r>
    </w:p>
    <w:p>
      <w:pPr>
        <w:pStyle w:val="6"/>
        <w:snapToGrid w:val="0"/>
        <w:spacing w:line="276" w:lineRule="auto"/>
        <w:ind w:firstLine="480"/>
        <w:rPr>
          <w:rFonts w:ascii="微软雅黑" w:hAnsi="微软雅黑" w:cs="微软雅黑"/>
          <w:szCs w:val="24"/>
        </w:rPr>
      </w:pPr>
    </w:p>
    <w:p>
      <w:pPr>
        <w:pStyle w:val="6"/>
        <w:snapToGrid w:val="0"/>
        <w:spacing w:line="276" w:lineRule="auto"/>
        <w:ind w:firstLine="480"/>
        <w:rPr>
          <w:rFonts w:ascii="微软雅黑" w:hAnsi="微软雅黑" w:cs="微软雅黑"/>
          <w:szCs w:val="24"/>
        </w:rPr>
      </w:pPr>
    </w:p>
    <w:p>
      <w:pPr>
        <w:pStyle w:val="3"/>
        <w:wordWrap w:val="0"/>
        <w:spacing w:line="276" w:lineRule="auto"/>
      </w:pPr>
      <w:bookmarkStart w:id="30" w:name="_Toc28185"/>
      <w:r>
        <w:rPr>
          <w:rFonts w:hint="eastAsia"/>
        </w:rPr>
        <w:t>3.后台管理主要功能</w:t>
      </w:r>
      <w:bookmarkEnd w:id="30"/>
    </w:p>
    <w:p>
      <w:pPr>
        <w:pStyle w:val="6"/>
        <w:wordWrap w:val="0"/>
        <w:snapToGrid w:val="0"/>
        <w:spacing w:line="276" w:lineRule="auto"/>
        <w:ind w:firstLine="480"/>
      </w:pPr>
      <w:r>
        <w:rPr>
          <w:rFonts w:hint="eastAsia"/>
        </w:rPr>
        <w:t>系统后台主要分为部门管理、人员管理、角色授权、角色授权待审核、角色授权已审核几个菜单，各个菜单需要的权限如下表：</w:t>
      </w:r>
    </w:p>
    <w:tbl>
      <w:tblPr>
        <w:tblStyle w:val="20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113" w:type="dxa"/>
          <w:left w:w="108" w:type="dxa"/>
          <w:bottom w:w="113" w:type="dxa"/>
          <w:right w:w="108" w:type="dxa"/>
        </w:tblCellMar>
      </w:tblPr>
      <w:tblGrid>
        <w:gridCol w:w="2093"/>
        <w:gridCol w:w="6237"/>
        <w:gridCol w:w="163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113" w:type="dxa"/>
            <w:left w:w="108" w:type="dxa"/>
            <w:bottom w:w="113" w:type="dxa"/>
            <w:right w:w="108" w:type="dxa"/>
          </w:tblCellMar>
        </w:tblPrEx>
        <w:tc>
          <w:tcPr>
            <w:tcW w:w="2093" w:type="dxa"/>
            <w:vAlign w:val="center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  <w:jc w:val="center"/>
            </w:pPr>
            <w:r>
              <w:rPr>
                <w:rFonts w:hint="eastAsia"/>
              </w:rPr>
              <w:t>菜单</w:t>
            </w:r>
          </w:p>
        </w:tc>
        <w:tc>
          <w:tcPr>
            <w:tcW w:w="6237" w:type="dxa"/>
            <w:vAlign w:val="center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  <w:jc w:val="center"/>
            </w:pPr>
            <w:r>
              <w:t>所需角色</w:t>
            </w:r>
          </w:p>
        </w:tc>
        <w:tc>
          <w:tcPr>
            <w:tcW w:w="1632" w:type="dxa"/>
            <w:vAlign w:val="center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  <w:jc w:val="center"/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2093" w:type="dxa"/>
            <w:vAlign w:val="center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  <w:jc w:val="center"/>
            </w:pPr>
            <w:r>
              <w:rPr>
                <w:rFonts w:hint="eastAsia"/>
              </w:rPr>
              <w:t>部门管理</w:t>
            </w:r>
          </w:p>
        </w:tc>
        <w:tc>
          <w:tcPr>
            <w:tcW w:w="6237" w:type="dxa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</w:pPr>
            <w:r>
              <w:t>系统管理员</w:t>
            </w:r>
          </w:p>
        </w:tc>
        <w:tc>
          <w:tcPr>
            <w:tcW w:w="1632" w:type="dxa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113" w:type="dxa"/>
            <w:left w:w="108" w:type="dxa"/>
            <w:bottom w:w="113" w:type="dxa"/>
            <w:right w:w="108" w:type="dxa"/>
          </w:tblCellMar>
        </w:tblPrEx>
        <w:tc>
          <w:tcPr>
            <w:tcW w:w="2093" w:type="dxa"/>
            <w:vAlign w:val="center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  <w:jc w:val="center"/>
            </w:pPr>
            <w:r>
              <w:rPr>
                <w:rFonts w:hint="eastAsia"/>
              </w:rPr>
              <w:t>人员管理</w:t>
            </w:r>
          </w:p>
        </w:tc>
        <w:tc>
          <w:tcPr>
            <w:tcW w:w="6237" w:type="dxa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</w:pPr>
            <w:r>
              <w:t>系统管理员</w:t>
            </w:r>
          </w:p>
        </w:tc>
        <w:tc>
          <w:tcPr>
            <w:tcW w:w="1632" w:type="dxa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113" w:type="dxa"/>
            <w:left w:w="108" w:type="dxa"/>
            <w:bottom w:w="113" w:type="dxa"/>
            <w:right w:w="108" w:type="dxa"/>
          </w:tblCellMar>
        </w:tblPrEx>
        <w:tc>
          <w:tcPr>
            <w:tcW w:w="2093" w:type="dxa"/>
            <w:vAlign w:val="center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  <w:jc w:val="center"/>
            </w:pPr>
            <w:r>
              <w:rPr>
                <w:rFonts w:hint="eastAsia"/>
              </w:rPr>
              <w:t>角色授权</w:t>
            </w:r>
          </w:p>
        </w:tc>
        <w:tc>
          <w:tcPr>
            <w:tcW w:w="6237" w:type="dxa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</w:pPr>
            <w:r>
              <w:t>系统管理员、安全保密管理员、部门公文收发员、单位公文收发员其中之一。</w:t>
            </w:r>
          </w:p>
        </w:tc>
        <w:tc>
          <w:tcPr>
            <w:tcW w:w="1632" w:type="dxa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113" w:type="dxa"/>
            <w:left w:w="108" w:type="dxa"/>
            <w:bottom w:w="113" w:type="dxa"/>
            <w:right w:w="108" w:type="dxa"/>
          </w:tblCellMar>
        </w:tblPrEx>
        <w:tc>
          <w:tcPr>
            <w:tcW w:w="2093" w:type="dxa"/>
            <w:vAlign w:val="center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  <w:jc w:val="center"/>
            </w:pPr>
            <w:r>
              <w:rPr>
                <w:rFonts w:hint="eastAsia"/>
              </w:rPr>
              <w:t>角色授权待审核</w:t>
            </w:r>
          </w:p>
        </w:tc>
        <w:tc>
          <w:tcPr>
            <w:tcW w:w="6237" w:type="dxa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</w:pPr>
            <w:r>
              <w:t>安全审计员</w:t>
            </w:r>
          </w:p>
        </w:tc>
        <w:tc>
          <w:tcPr>
            <w:tcW w:w="1632" w:type="dxa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113" w:type="dxa"/>
            <w:left w:w="108" w:type="dxa"/>
            <w:bottom w:w="113" w:type="dxa"/>
            <w:right w:w="108" w:type="dxa"/>
          </w:tblCellMar>
        </w:tblPrEx>
        <w:tc>
          <w:tcPr>
            <w:tcW w:w="2093" w:type="dxa"/>
            <w:vAlign w:val="center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  <w:jc w:val="center"/>
            </w:pPr>
            <w:r>
              <w:rPr>
                <w:rFonts w:hint="eastAsia"/>
              </w:rPr>
              <w:t>角色授权已审核</w:t>
            </w:r>
          </w:p>
        </w:tc>
        <w:tc>
          <w:tcPr>
            <w:tcW w:w="6237" w:type="dxa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</w:pPr>
            <w:r>
              <w:t>安全审计员</w:t>
            </w:r>
          </w:p>
        </w:tc>
        <w:tc>
          <w:tcPr>
            <w:tcW w:w="1632" w:type="dxa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113" w:type="dxa"/>
            <w:left w:w="108" w:type="dxa"/>
            <w:bottom w:w="113" w:type="dxa"/>
            <w:right w:w="108" w:type="dxa"/>
          </w:tblCellMar>
        </w:tblPrEx>
        <w:tc>
          <w:tcPr>
            <w:tcW w:w="2093" w:type="dxa"/>
            <w:vAlign w:val="center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  <w:jc w:val="center"/>
            </w:pPr>
          </w:p>
        </w:tc>
        <w:tc>
          <w:tcPr>
            <w:tcW w:w="6237" w:type="dxa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</w:pPr>
          </w:p>
        </w:tc>
        <w:tc>
          <w:tcPr>
            <w:tcW w:w="1632" w:type="dxa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113" w:type="dxa"/>
            <w:left w:w="108" w:type="dxa"/>
            <w:bottom w:w="113" w:type="dxa"/>
            <w:right w:w="108" w:type="dxa"/>
          </w:tblCellMar>
        </w:tblPrEx>
        <w:tc>
          <w:tcPr>
            <w:tcW w:w="2093" w:type="dxa"/>
            <w:vAlign w:val="center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  <w:jc w:val="center"/>
            </w:pPr>
          </w:p>
        </w:tc>
        <w:tc>
          <w:tcPr>
            <w:tcW w:w="6237" w:type="dxa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</w:pPr>
          </w:p>
        </w:tc>
        <w:tc>
          <w:tcPr>
            <w:tcW w:w="1632" w:type="dxa"/>
          </w:tcPr>
          <w:p>
            <w:pPr>
              <w:pStyle w:val="6"/>
              <w:wordWrap w:val="0"/>
              <w:snapToGrid w:val="0"/>
              <w:spacing w:line="276" w:lineRule="auto"/>
              <w:ind w:firstLine="0" w:firstLineChars="0"/>
            </w:pPr>
          </w:p>
        </w:tc>
      </w:tr>
    </w:tbl>
    <w:p>
      <w:pPr>
        <w:pStyle w:val="6"/>
        <w:wordWrap w:val="0"/>
        <w:snapToGrid w:val="0"/>
        <w:spacing w:line="276" w:lineRule="auto"/>
        <w:ind w:firstLine="0" w:firstLineChars="0"/>
      </w:pPr>
    </w:p>
    <w:p>
      <w:pPr>
        <w:pStyle w:val="6"/>
        <w:wordWrap w:val="0"/>
        <w:snapToGrid w:val="0"/>
        <w:spacing w:line="276" w:lineRule="auto"/>
        <w:ind w:firstLine="480"/>
      </w:pPr>
    </w:p>
    <w:p>
      <w:pPr>
        <w:pStyle w:val="4"/>
        <w:wordWrap w:val="0"/>
        <w:spacing w:line="276" w:lineRule="auto"/>
      </w:pPr>
      <w:bookmarkStart w:id="31" w:name="_Toc9384"/>
      <w:bookmarkStart w:id="32" w:name="_Toc99809294"/>
      <w:r>
        <w:rPr>
          <w:rFonts w:hint="eastAsia"/>
        </w:rPr>
        <w:t>3.1用户及单位管理</w:t>
      </w:r>
      <w:bookmarkEnd w:id="31"/>
      <w:bookmarkEnd w:id="32"/>
    </w:p>
    <w:p>
      <w:pPr>
        <w:pStyle w:val="6"/>
        <w:wordWrap w:val="0"/>
        <w:snapToGrid w:val="0"/>
        <w:ind w:firstLine="480"/>
      </w:pPr>
      <w:r>
        <w:t>进入系统之后，在左侧菜单中，找到部门管理与人员管理菜单，点击即可</w:t>
      </w:r>
      <w:r>
        <w:rPr>
          <w:rFonts w:hint="eastAsia"/>
        </w:rPr>
        <w:t>进入</w:t>
      </w:r>
      <w:r>
        <w:t>相应页面查看自己管辖区域内的</w:t>
      </w:r>
      <w:r>
        <w:rPr>
          <w:rFonts w:hint="eastAsia"/>
        </w:rPr>
        <w:t>单位及用户，本系统已经启用组织机构与统一用户系统同步功能，所以本系统内只能查看组织机构及用户，不能新增、修改、删除、移动组织机构及用户。</w:t>
      </w:r>
    </w:p>
    <w:p>
      <w:pPr>
        <w:pStyle w:val="6"/>
        <w:wordWrap w:val="0"/>
        <w:snapToGrid w:val="0"/>
        <w:ind w:firstLine="0" w:firstLineChars="0"/>
      </w:pPr>
      <w:r>
        <w:drawing>
          <wp:inline distT="0" distB="0" distL="0" distR="0">
            <wp:extent cx="6082665" cy="172021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2853" cy="172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wordWrap w:val="0"/>
        <w:snapToGrid w:val="0"/>
        <w:ind w:firstLine="0" w:firstLineChars="0"/>
      </w:pPr>
      <w:r>
        <w:drawing>
          <wp:inline distT="0" distB="0" distL="0" distR="0">
            <wp:extent cx="6139180" cy="282511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39408" cy="282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wordWrap w:val="0"/>
        <w:snapToGrid w:val="0"/>
        <w:spacing w:line="276" w:lineRule="auto"/>
        <w:ind w:firstLine="480"/>
      </w:pPr>
    </w:p>
    <w:p>
      <w:pPr>
        <w:pStyle w:val="4"/>
        <w:wordWrap w:val="0"/>
        <w:spacing w:line="276" w:lineRule="auto"/>
      </w:pPr>
      <w:bookmarkStart w:id="33" w:name="_Toc99809295"/>
      <w:bookmarkStart w:id="34" w:name="_Toc549"/>
      <w:r>
        <w:rPr>
          <w:rFonts w:hint="eastAsia"/>
        </w:rPr>
        <w:t>3.2角色授权流程及审核流程</w:t>
      </w:r>
      <w:bookmarkEnd w:id="33"/>
      <w:bookmarkEnd w:id="34"/>
    </w:p>
    <w:p>
      <w:pPr>
        <w:pStyle w:val="6"/>
        <w:wordWrap w:val="0"/>
        <w:snapToGrid w:val="0"/>
        <w:ind w:firstLine="480"/>
      </w:pPr>
      <w:r>
        <w:rPr>
          <w:rFonts w:hint="eastAsia"/>
        </w:rPr>
        <w:t>角色的授权申请可以由</w:t>
      </w:r>
      <w:r>
        <w:rPr>
          <w:rFonts w:hint="eastAsia"/>
          <w:b/>
        </w:rPr>
        <w:t>安全保密管理员、部门公文收发员、单位公文收发员</w:t>
      </w:r>
      <w:r>
        <w:rPr>
          <w:rFonts w:hint="eastAsia"/>
        </w:rPr>
        <w:t>之一提出申请，在角色管理页面中，选择要授权的角色，右侧列表就会显示管理员</w:t>
      </w:r>
      <w:r>
        <w:rPr>
          <w:rFonts w:hint="eastAsia"/>
          <w:b/>
        </w:rPr>
        <w:t>管辖区域内</w:t>
      </w:r>
      <w:r>
        <w:rPr>
          <w:rFonts w:hint="eastAsia"/>
        </w:rPr>
        <w:t>的授权申请，自己管辖区域之外的用户不会显示在列表中，在右侧授权申请列表顶部有增加用户的按钮，点击增加用户，在弹出的用户选择对话框中，即可勾选要申请的用户：</w:t>
      </w:r>
    </w:p>
    <w:p>
      <w:pPr>
        <w:pStyle w:val="6"/>
        <w:wordWrap w:val="0"/>
        <w:snapToGrid w:val="0"/>
        <w:ind w:firstLine="0" w:firstLineChars="0"/>
      </w:pPr>
      <w:r>
        <w:rPr>
          <w:rFonts w:hint="eastAsia"/>
        </w:rPr>
        <w:drawing>
          <wp:inline distT="0" distB="0" distL="0" distR="0">
            <wp:extent cx="6155690" cy="301180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6016" cy="301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wordWrap w:val="0"/>
        <w:snapToGrid w:val="0"/>
        <w:ind w:firstLine="480"/>
      </w:pPr>
      <w:r>
        <w:rPr>
          <w:rFonts w:hint="eastAsia"/>
        </w:rPr>
        <w:t>选择完毕之后，点击保存，即可提出角色授权申请，新增加的授权不会立即生效，处于待审核状态，需要由</w:t>
      </w:r>
      <w:r>
        <w:rPr>
          <w:rFonts w:hint="eastAsia"/>
          <w:b/>
        </w:rPr>
        <w:t>安全审计员</w:t>
      </w:r>
      <w:r>
        <w:rPr>
          <w:rFonts w:hint="eastAsia"/>
        </w:rPr>
        <w:t>，在角色授权待审核菜单中，审核通过之后，才会生效：</w:t>
      </w:r>
    </w:p>
    <w:p>
      <w:pPr>
        <w:pStyle w:val="6"/>
        <w:wordWrap w:val="0"/>
        <w:snapToGrid w:val="0"/>
        <w:ind w:firstLine="0" w:firstLineChars="0"/>
      </w:pPr>
      <w:r>
        <w:drawing>
          <wp:inline distT="0" distB="0" distL="0" distR="0">
            <wp:extent cx="6046470" cy="110934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6660" cy="1109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wordWrap w:val="0"/>
        <w:snapToGrid w:val="0"/>
        <w:ind w:firstLine="480"/>
      </w:pPr>
    </w:p>
    <w:p>
      <w:pPr>
        <w:pStyle w:val="6"/>
        <w:snapToGrid w:val="0"/>
        <w:ind w:firstLine="480"/>
      </w:pPr>
    </w:p>
    <w:p/>
    <w:p/>
    <w:sectPr>
      <w:headerReference r:id="rId5" w:type="default"/>
      <w:footerReference r:id="rId6" w:type="default"/>
      <w:pgSz w:w="11906" w:h="16838"/>
      <w:pgMar w:top="1440" w:right="1080" w:bottom="1440" w:left="1080" w:header="851" w:footer="992" w:gutter="0"/>
      <w:pgNumType w:start="0"/>
      <w:cols w:space="720" w:num="1"/>
      <w:titlePg/>
      <w:docGrid w:type="lines"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right"/>
      <w:rPr>
        <w:sz w:val="15"/>
        <w:szCs w:val="15"/>
      </w:rPr>
    </w:pPr>
  </w:p>
  <w:p>
    <w:pPr>
      <w:pStyle w:val="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2769202"/>
    <w:multiLevelType w:val="singleLevel"/>
    <w:tmpl w:val="7276920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40"/>
  <w:drawingGridVerticalSpacing w:val="381"/>
  <w:displayHorizontalDrawingGridEvery w:val="0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I4YmIzOTgyMTFlZGUzODU1ZTQzODkzNDZkNTdkMWYifQ=="/>
  </w:docVars>
  <w:rsids>
    <w:rsidRoot w:val="008E408A"/>
    <w:rsid w:val="000601D5"/>
    <w:rsid w:val="0008519B"/>
    <w:rsid w:val="00097CAF"/>
    <w:rsid w:val="000A7BD4"/>
    <w:rsid w:val="000B5370"/>
    <w:rsid w:val="00117760"/>
    <w:rsid w:val="00146C6D"/>
    <w:rsid w:val="00157D43"/>
    <w:rsid w:val="0018757D"/>
    <w:rsid w:val="001E16A6"/>
    <w:rsid w:val="00205E41"/>
    <w:rsid w:val="00215A4D"/>
    <w:rsid w:val="002242FF"/>
    <w:rsid w:val="00295656"/>
    <w:rsid w:val="00312D38"/>
    <w:rsid w:val="00314B67"/>
    <w:rsid w:val="00332797"/>
    <w:rsid w:val="00335BCD"/>
    <w:rsid w:val="0035196E"/>
    <w:rsid w:val="00366619"/>
    <w:rsid w:val="00396A9F"/>
    <w:rsid w:val="003A5D78"/>
    <w:rsid w:val="003C58CB"/>
    <w:rsid w:val="003E07C4"/>
    <w:rsid w:val="003F5E93"/>
    <w:rsid w:val="00424A40"/>
    <w:rsid w:val="00455E20"/>
    <w:rsid w:val="00463601"/>
    <w:rsid w:val="004638B5"/>
    <w:rsid w:val="00466FCC"/>
    <w:rsid w:val="004950FA"/>
    <w:rsid w:val="004C5D9B"/>
    <w:rsid w:val="00501B5D"/>
    <w:rsid w:val="00501EB5"/>
    <w:rsid w:val="005650C2"/>
    <w:rsid w:val="005956A2"/>
    <w:rsid w:val="005A03AD"/>
    <w:rsid w:val="005B5207"/>
    <w:rsid w:val="005D0E60"/>
    <w:rsid w:val="005D20F7"/>
    <w:rsid w:val="005D3A04"/>
    <w:rsid w:val="005D6C40"/>
    <w:rsid w:val="005E73A0"/>
    <w:rsid w:val="00602FBC"/>
    <w:rsid w:val="0060377E"/>
    <w:rsid w:val="00637675"/>
    <w:rsid w:val="00642AA9"/>
    <w:rsid w:val="00650474"/>
    <w:rsid w:val="00673B91"/>
    <w:rsid w:val="006937CF"/>
    <w:rsid w:val="006C0CCF"/>
    <w:rsid w:val="006D7E4D"/>
    <w:rsid w:val="006F3148"/>
    <w:rsid w:val="00700F1A"/>
    <w:rsid w:val="00775F13"/>
    <w:rsid w:val="00776D45"/>
    <w:rsid w:val="00781E3F"/>
    <w:rsid w:val="007B1189"/>
    <w:rsid w:val="007B6DD7"/>
    <w:rsid w:val="007C150C"/>
    <w:rsid w:val="007E0DBE"/>
    <w:rsid w:val="00806DBA"/>
    <w:rsid w:val="008110CD"/>
    <w:rsid w:val="0082349F"/>
    <w:rsid w:val="00846A05"/>
    <w:rsid w:val="00863CFE"/>
    <w:rsid w:val="00880A83"/>
    <w:rsid w:val="008948DB"/>
    <w:rsid w:val="008B41EE"/>
    <w:rsid w:val="008E408A"/>
    <w:rsid w:val="0091392D"/>
    <w:rsid w:val="00925CB0"/>
    <w:rsid w:val="00943551"/>
    <w:rsid w:val="00943649"/>
    <w:rsid w:val="00953B50"/>
    <w:rsid w:val="009863A2"/>
    <w:rsid w:val="009D1305"/>
    <w:rsid w:val="009D1CA4"/>
    <w:rsid w:val="009D3534"/>
    <w:rsid w:val="009D449E"/>
    <w:rsid w:val="00A05DA9"/>
    <w:rsid w:val="00A06355"/>
    <w:rsid w:val="00A40A44"/>
    <w:rsid w:val="00A579FE"/>
    <w:rsid w:val="00A67E85"/>
    <w:rsid w:val="00A732A3"/>
    <w:rsid w:val="00A81470"/>
    <w:rsid w:val="00AA7678"/>
    <w:rsid w:val="00AB7606"/>
    <w:rsid w:val="00AB7C49"/>
    <w:rsid w:val="00AC763B"/>
    <w:rsid w:val="00AD78E7"/>
    <w:rsid w:val="00AE3DF8"/>
    <w:rsid w:val="00AF0EEC"/>
    <w:rsid w:val="00B939FE"/>
    <w:rsid w:val="00B95DF5"/>
    <w:rsid w:val="00BC6961"/>
    <w:rsid w:val="00BE382D"/>
    <w:rsid w:val="00BF2BDF"/>
    <w:rsid w:val="00C630DD"/>
    <w:rsid w:val="00C71C0C"/>
    <w:rsid w:val="00C83BDE"/>
    <w:rsid w:val="00CC6E8F"/>
    <w:rsid w:val="00CE4824"/>
    <w:rsid w:val="00CF4BF8"/>
    <w:rsid w:val="00D0145D"/>
    <w:rsid w:val="00D01EC8"/>
    <w:rsid w:val="00D46762"/>
    <w:rsid w:val="00D533A1"/>
    <w:rsid w:val="00D9227C"/>
    <w:rsid w:val="00DB16A8"/>
    <w:rsid w:val="00DE1346"/>
    <w:rsid w:val="00DF12EC"/>
    <w:rsid w:val="00E04B0B"/>
    <w:rsid w:val="00E05F6B"/>
    <w:rsid w:val="00E147FE"/>
    <w:rsid w:val="00E14960"/>
    <w:rsid w:val="00E44731"/>
    <w:rsid w:val="00E67E4C"/>
    <w:rsid w:val="00EA450B"/>
    <w:rsid w:val="00EA7F6C"/>
    <w:rsid w:val="00EC2643"/>
    <w:rsid w:val="00EE03F4"/>
    <w:rsid w:val="00EE5A07"/>
    <w:rsid w:val="00EF0BB2"/>
    <w:rsid w:val="00F10FF7"/>
    <w:rsid w:val="00F63003"/>
    <w:rsid w:val="00FC75B2"/>
    <w:rsid w:val="017B0D6B"/>
    <w:rsid w:val="041E60D0"/>
    <w:rsid w:val="09D54231"/>
    <w:rsid w:val="0EF952F9"/>
    <w:rsid w:val="196723FE"/>
    <w:rsid w:val="1C1439A1"/>
    <w:rsid w:val="1C512E14"/>
    <w:rsid w:val="1EF53A59"/>
    <w:rsid w:val="222723B3"/>
    <w:rsid w:val="33D658A2"/>
    <w:rsid w:val="33DA380E"/>
    <w:rsid w:val="3C8944B8"/>
    <w:rsid w:val="40A20B37"/>
    <w:rsid w:val="41403DE6"/>
    <w:rsid w:val="41BC484A"/>
    <w:rsid w:val="43E23793"/>
    <w:rsid w:val="4A46477D"/>
    <w:rsid w:val="4B1C3DFB"/>
    <w:rsid w:val="4DB91F0F"/>
    <w:rsid w:val="518C7F3C"/>
    <w:rsid w:val="567C4804"/>
    <w:rsid w:val="5D462B7D"/>
    <w:rsid w:val="5EF566FE"/>
    <w:rsid w:val="608622B4"/>
    <w:rsid w:val="667922E4"/>
    <w:rsid w:val="68B97F60"/>
    <w:rsid w:val="6B67290D"/>
    <w:rsid w:val="6F395F05"/>
    <w:rsid w:val="7790218D"/>
    <w:rsid w:val="7B5D177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semiHidden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 w:locked="1"/>
    <w:lsdException w:qFormat="1" w:unhideWhenUsed="0" w:uiPriority="0" w:semiHidden="0" w:name="toc 2" w:locked="1"/>
    <w:lsdException w:qFormat="1" w:unhideWhenUsed="0" w:uiPriority="0" w:semiHidden="0" w:name="toc 3" w:locked="1"/>
    <w:lsdException w:qFormat="1" w:unhideWhenUsed="0" w:uiPriority="0" w:semiHidden="0" w:name="toc 4" w:locked="1"/>
    <w:lsdException w:unhideWhenUsed="0" w:uiPriority="0" w:semiHidden="0" w:name="toc 5" w:locked="1"/>
    <w:lsdException w:qFormat="1"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qFormat="1" w:unhideWhenUsed="0" w:uiPriority="0" w:semiHidden="0" w:name="toc 9" w:locked="1"/>
    <w:lsdException w:qFormat="1" w:unhideWhenUsed="0" w:uiPriority="0" w:semiHidden="0" w:name="Normal Indent"/>
    <w:lsdException w:uiPriority="0" w:name="footnote text"/>
    <w:lsdException w:uiPriority="0" w:name="annotation text"/>
    <w:lsdException w:qFormat="1" w:uiPriority="99" w:semiHidden="0" w:name="header"/>
    <w:lsdException w:uiPriority="99" w:semiHidden="0" w:name="footer"/>
    <w:lsdException w:uiPriority="0" w:name="index heading"/>
    <w:lsdException w:qFormat="1" w:uiPriority="0" w:name="caption" w:locked="1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 w:locked="1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 w:locked="1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semiHidden="0" w:name="Balloon Text"/>
    <w:lsdException w:qFormat="1" w:unhideWhenUsed="0" w:uiPriority="0" w:semiHidden="0" w:name="Table Grid" w:locked="1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="Calibri"/>
      <w:kern w:val="2"/>
      <w:sz w:val="28"/>
      <w:szCs w:val="21"/>
      <w:lang w:val="en-US" w:eastAsia="zh-CN" w:bidi="ar-SA"/>
    </w:rPr>
  </w:style>
  <w:style w:type="paragraph" w:styleId="2">
    <w:name w:val="heading 1"/>
    <w:basedOn w:val="1"/>
    <w:next w:val="1"/>
    <w:link w:val="26"/>
    <w:qFormat/>
    <w:locked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locked/>
    <w:uiPriority w:val="0"/>
    <w:pPr>
      <w:keepNext/>
      <w:keepLines/>
      <w:spacing w:before="260" w:after="260" w:line="416" w:lineRule="auto"/>
      <w:outlineLvl w:val="1"/>
    </w:pPr>
    <w:rPr>
      <w:rFonts w:ascii="Cambria" w:hAnsi="Cambria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29"/>
    <w:semiHidden/>
    <w:unhideWhenUsed/>
    <w:qFormat/>
    <w:locked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locked/>
    <w:uiPriority w:val="0"/>
    <w:pPr>
      <w:ind w:left="2520" w:leftChars="1200"/>
    </w:pPr>
  </w:style>
  <w:style w:type="paragraph" w:styleId="6">
    <w:name w:val="Normal Indent"/>
    <w:basedOn w:val="1"/>
    <w:qFormat/>
    <w:uiPriority w:val="0"/>
    <w:pPr>
      <w:widowControl/>
      <w:ind w:firstLine="420" w:firstLineChars="200"/>
      <w:jc w:val="left"/>
    </w:pPr>
    <w:rPr>
      <w:rFonts w:cs="Times New Roman"/>
      <w:color w:val="1D1B11"/>
      <w:kern w:val="0"/>
      <w:sz w:val="24"/>
      <w:szCs w:val="22"/>
    </w:rPr>
  </w:style>
  <w:style w:type="paragraph" w:styleId="7">
    <w:name w:val="toc 5"/>
    <w:basedOn w:val="1"/>
    <w:next w:val="1"/>
    <w:locked/>
    <w:uiPriority w:val="0"/>
    <w:pPr>
      <w:ind w:left="1680" w:leftChars="800"/>
    </w:pPr>
  </w:style>
  <w:style w:type="paragraph" w:styleId="8">
    <w:name w:val="toc 3"/>
    <w:basedOn w:val="1"/>
    <w:next w:val="1"/>
    <w:qFormat/>
    <w:locked/>
    <w:uiPriority w:val="0"/>
    <w:pPr>
      <w:ind w:left="840" w:leftChars="400"/>
    </w:pPr>
  </w:style>
  <w:style w:type="paragraph" w:styleId="9">
    <w:name w:val="toc 8"/>
    <w:basedOn w:val="1"/>
    <w:next w:val="1"/>
    <w:locked/>
    <w:uiPriority w:val="0"/>
    <w:pPr>
      <w:ind w:left="2940" w:leftChars="1400"/>
    </w:pPr>
  </w:style>
  <w:style w:type="paragraph" w:styleId="10">
    <w:name w:val="Balloon Text"/>
    <w:basedOn w:val="1"/>
    <w:link w:val="28"/>
    <w:unhideWhenUsed/>
    <w:uiPriority w:val="0"/>
    <w:rPr>
      <w:sz w:val="16"/>
      <w:szCs w:val="16"/>
    </w:rPr>
  </w:style>
  <w:style w:type="paragraph" w:styleId="11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locked/>
    <w:uiPriority w:val="39"/>
  </w:style>
  <w:style w:type="paragraph" w:styleId="14">
    <w:name w:val="toc 4"/>
    <w:basedOn w:val="1"/>
    <w:next w:val="1"/>
    <w:qFormat/>
    <w:locked/>
    <w:uiPriority w:val="0"/>
    <w:pPr>
      <w:ind w:left="1260" w:leftChars="600"/>
    </w:pPr>
  </w:style>
  <w:style w:type="paragraph" w:styleId="15">
    <w:name w:val="toc 6"/>
    <w:basedOn w:val="1"/>
    <w:next w:val="1"/>
    <w:qFormat/>
    <w:locked/>
    <w:uiPriority w:val="0"/>
    <w:pPr>
      <w:ind w:left="2100" w:leftChars="1000"/>
    </w:pPr>
  </w:style>
  <w:style w:type="paragraph" w:styleId="16">
    <w:name w:val="toc 2"/>
    <w:basedOn w:val="1"/>
    <w:next w:val="1"/>
    <w:qFormat/>
    <w:locked/>
    <w:uiPriority w:val="0"/>
    <w:pPr>
      <w:ind w:left="420" w:leftChars="200"/>
    </w:pPr>
  </w:style>
  <w:style w:type="paragraph" w:styleId="17">
    <w:name w:val="toc 9"/>
    <w:basedOn w:val="1"/>
    <w:next w:val="1"/>
    <w:qFormat/>
    <w:locked/>
    <w:uiPriority w:val="0"/>
    <w:pPr>
      <w:ind w:left="3360" w:leftChars="1600"/>
    </w:pPr>
  </w:style>
  <w:style w:type="paragraph" w:styleId="18">
    <w:name w:val="Title"/>
    <w:basedOn w:val="1"/>
    <w:next w:val="1"/>
    <w:link w:val="25"/>
    <w:qFormat/>
    <w:locked/>
    <w:uiPriority w:val="0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table" w:styleId="20">
    <w:name w:val="Table Grid"/>
    <w:basedOn w:val="19"/>
    <w:qFormat/>
    <w:locked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2">
    <w:name w:val="Hyperlink"/>
    <w:unhideWhenUsed/>
    <w:qFormat/>
    <w:uiPriority w:val="99"/>
    <w:rPr>
      <w:color w:val="0000FF"/>
      <w:u w:val="single"/>
    </w:rPr>
  </w:style>
  <w:style w:type="character" w:customStyle="1" w:styleId="23">
    <w:name w:val="页眉 Char"/>
    <w:link w:val="12"/>
    <w:qFormat/>
    <w:uiPriority w:val="99"/>
    <w:rPr>
      <w:kern w:val="2"/>
      <w:sz w:val="18"/>
      <w:szCs w:val="18"/>
    </w:rPr>
  </w:style>
  <w:style w:type="character" w:customStyle="1" w:styleId="24">
    <w:name w:val="页脚 Char"/>
    <w:link w:val="11"/>
    <w:qFormat/>
    <w:uiPriority w:val="99"/>
    <w:rPr>
      <w:kern w:val="2"/>
      <w:sz w:val="18"/>
      <w:szCs w:val="18"/>
    </w:rPr>
  </w:style>
  <w:style w:type="character" w:customStyle="1" w:styleId="25">
    <w:name w:val="标题 Char"/>
    <w:link w:val="18"/>
    <w:qFormat/>
    <w:uiPriority w:val="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6">
    <w:name w:val="标题 1 Char"/>
    <w:link w:val="2"/>
    <w:uiPriority w:val="0"/>
    <w:rPr>
      <w:b/>
      <w:bCs/>
      <w:kern w:val="44"/>
      <w:sz w:val="44"/>
      <w:szCs w:val="44"/>
    </w:rPr>
  </w:style>
  <w:style w:type="character" w:customStyle="1" w:styleId="27">
    <w:name w:val="标题 2 Char"/>
    <w:link w:val="3"/>
    <w:qFormat/>
    <w:uiPriority w:val="0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28">
    <w:name w:val="批注框文本 Char"/>
    <w:basedOn w:val="21"/>
    <w:link w:val="10"/>
    <w:semiHidden/>
    <w:qFormat/>
    <w:uiPriority w:val="0"/>
    <w:rPr>
      <w:kern w:val="2"/>
      <w:sz w:val="16"/>
      <w:szCs w:val="16"/>
    </w:rPr>
  </w:style>
  <w:style w:type="character" w:customStyle="1" w:styleId="29">
    <w:name w:val="标题 3 Char"/>
    <w:basedOn w:val="21"/>
    <w:link w:val="4"/>
    <w:semiHidden/>
    <w:qFormat/>
    <w:uiPriority w:val="0"/>
    <w:rPr>
      <w:b/>
      <w:bCs/>
      <w:kern w:val="2"/>
      <w:sz w:val="32"/>
      <w:szCs w:val="32"/>
    </w:rPr>
  </w:style>
  <w:style w:type="paragraph" w:customStyle="1" w:styleId="30">
    <w:name w:val="TOC 标题1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2.jpeg"/><Relationship Id="rId38" Type="http://schemas.openxmlformats.org/officeDocument/2006/relationships/image" Target="media/image31.jpeg"/><Relationship Id="rId37" Type="http://schemas.openxmlformats.org/officeDocument/2006/relationships/image" Target="media/image30.jpeg"/><Relationship Id="rId36" Type="http://schemas.openxmlformats.org/officeDocument/2006/relationships/image" Target="media/image29.jpeg"/><Relationship Id="rId35" Type="http://schemas.openxmlformats.org/officeDocument/2006/relationships/image" Target="media/image28.jpeg"/><Relationship Id="rId34" Type="http://schemas.openxmlformats.org/officeDocument/2006/relationships/image" Target="media/image27.jpeg"/><Relationship Id="rId33" Type="http://schemas.openxmlformats.org/officeDocument/2006/relationships/image" Target="media/image26.jpeg"/><Relationship Id="rId32" Type="http://schemas.openxmlformats.org/officeDocument/2006/relationships/image" Target="media/image25.jpeg"/><Relationship Id="rId31" Type="http://schemas.openxmlformats.org/officeDocument/2006/relationships/image" Target="media/image24.jpeg"/><Relationship Id="rId30" Type="http://schemas.openxmlformats.org/officeDocument/2006/relationships/image" Target="media/image23.jpe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38303-0F69-45D9-A09E-A1A42DF238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19</Pages>
  <Words>2722</Words>
  <Characters>2919</Characters>
  <Lines>27</Lines>
  <Paragraphs>7</Paragraphs>
  <TotalTime>3</TotalTime>
  <ScaleCrop>false</ScaleCrop>
  <LinksUpToDate>false</LinksUpToDate>
  <CharactersWithSpaces>2942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DELL1</dc:creator>
  <cp:lastModifiedBy>爽</cp:lastModifiedBy>
  <dcterms:modified xsi:type="dcterms:W3CDTF">2022-09-09T06:28:56Z</dcterms:modified>
  <dc:title>“数字金融掌上服务平台”系统用户手册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0255A3047EBC4EC59205B44BA8AB2FCF</vt:lpwstr>
  </property>
</Properties>
</file>