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Times New Roman"/>
          <w:strike w:val="0"/>
          <w:sz w:val="21"/>
          <w:szCs w:val="21"/>
          <w:u w:val="none"/>
          <w:vertAlign w:val="baseline"/>
          <w:lang w:val="zh-CN" w:eastAsia="zh-CN" w:bidi="zh-CN"/>
          <w14:ligatures w14:val="standardContextual"/>
        </w:rPr>
        <w:id w:val="435412447"/>
        <w15:color w:val="DBDBDB"/>
        <w:docPartObj>
          <w:docPartGallery w:val="Table of Contents"/>
          <w:docPartUnique/>
        </w:docPartObj>
      </w:sdtPr>
      <w:sdtEndPr>
        <w:rPr>
          <w:rFonts w:ascii="Songti SC Regular" w:hAnsi="Songti SC Regular" w:eastAsia="Songti SC Regular" w:cs="Songti SC Regular"/>
          <w:strike w:val="0"/>
          <w:sz w:val="21"/>
          <w:szCs w:val="21"/>
          <w:u w:val="none"/>
          <w:vertAlign w:val="baseline"/>
          <w:lang w:val="zh-CN" w:eastAsia="zh-CN" w:bidi="zh-CN"/>
          <w14:ligatures w14:val="standardContextual"/>
        </w:rPr>
      </w:sdtEndPr>
      <w:sdtContent>
        <w:p w14:paraId="3AFB9A0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strike w:val="0"/>
              <w:sz w:val="21"/>
              <w:szCs w:val="21"/>
              <w:u w:val="none"/>
              <w:vertAlign w:val="baseline"/>
              <w:lang w:val="zh-CN" w:eastAsia="zh-CN" w:bidi="zh-CN"/>
              <w14:ligatures w14:val="standardContextual"/>
            </w:rPr>
          </w:pPr>
        </w:p>
        <w:p w14:paraId="5EA866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</w:rPr>
          </w:pPr>
          <w:bookmarkStart w:id="16" w:name="_GoBack"/>
          <w:r>
            <w:rPr>
              <w:rFonts w:ascii="宋体" w:hAnsi="宋体" w:eastAsia="宋体"/>
              <w:b/>
              <w:bCs/>
              <w:sz w:val="21"/>
            </w:rPr>
            <w:t>目</w:t>
          </w:r>
          <w:r>
            <w:rPr>
              <w:rFonts w:hint="eastAsia" w:ascii="宋体" w:hAnsi="宋体" w:eastAsia="宋体"/>
              <w:b/>
              <w:bCs/>
              <w:sz w:val="21"/>
              <w:lang w:val="en-US" w:eastAsia="zh-CN"/>
            </w:rPr>
            <w:t xml:space="preserve"> </w:t>
          </w:r>
          <w:r>
            <w:rPr>
              <w:rFonts w:ascii="宋体" w:hAnsi="宋体" w:eastAsia="宋体"/>
              <w:b/>
              <w:bCs/>
              <w:sz w:val="21"/>
            </w:rPr>
            <w:t>录</w:t>
          </w:r>
        </w:p>
        <w:bookmarkEnd w:id="16"/>
        <w:p w14:paraId="4EB8F95A">
          <w:pPr>
            <w:pStyle w:val="9"/>
            <w:tabs>
              <w:tab w:val="right" w:leader="dot" w:pos="9020"/>
            </w:tabs>
            <w:ind w:left="420" w:leftChars="200" w:firstLine="0" w:firstLineChars="0"/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TOC \o "1-3" \h \u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_Toc570105430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一、养老金政策与管理</w:t>
          </w:r>
          <w:r>
            <w:tab/>
          </w:r>
          <w:r>
            <w:fldChar w:fldCharType="begin"/>
          </w:r>
          <w:r>
            <w:instrText xml:space="preserve"> PAGEREF _Toc570105430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071360AA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_Toc1837412743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</w:t>
          </w:r>
          <w:r>
            <w:rPr>
              <w:rFonts w:ascii="Songti SC Regular" w:hAnsi="Songti SC Regular" w:eastAsia="Songti SC Regular" w:cs="Songti SC Regular"/>
            </w:rPr>
            <w:t>）俄罗斯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俄罗斯</w:t>
          </w:r>
          <w:r>
            <w:t>4</w:t>
          </w:r>
          <w:r>
            <w:rPr>
              <w:rFonts w:ascii="Songti SC Regular" w:hAnsi="Songti SC Regular" w:eastAsia="Songti SC Regular" w:cs="Songti SC Regular"/>
            </w:rPr>
            <w:t>月上调国家养老金并同步提高护理补贴</w:t>
          </w:r>
          <w:r>
            <w:tab/>
          </w:r>
          <w:r>
            <w:fldChar w:fldCharType="begin"/>
          </w:r>
          <w:r>
            <w:instrText xml:space="preserve"> PAGEREF _Toc1837412743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739417DB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_Toc581127741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2</w:t>
          </w:r>
          <w:r>
            <w:rPr>
              <w:rFonts w:ascii="Songti SC Regular" w:hAnsi="Songti SC Regular" w:eastAsia="Songti SC Regular" w:cs="Songti SC Regular"/>
            </w:rPr>
            <w:t>）澳大利亚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澳大利亚放宽长寿风险产品资本规则以支持退休收入市场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_Toc581127741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5F573310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_Toc258316431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3</w:t>
          </w:r>
          <w:r>
            <w:rPr>
              <w:rFonts w:ascii="Songti SC Regular" w:hAnsi="Songti SC Regular" w:eastAsia="Songti SC Regular" w:cs="Songti SC Regular"/>
            </w:rPr>
            <w:t>）阿根廷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阿根廷</w:t>
          </w:r>
          <w:r>
            <w:t>4</w:t>
          </w:r>
          <w:r>
            <w:rPr>
              <w:rFonts w:ascii="Songti SC Regular" w:hAnsi="Songti SC Regular" w:eastAsia="Songti SC Regular" w:cs="Songti SC Regular"/>
            </w:rPr>
            <w:t>月上调养老金并续发一次性补贴</w:t>
          </w:r>
          <w:r>
            <w:tab/>
          </w:r>
          <w:r>
            <w:fldChar w:fldCharType="begin"/>
          </w:r>
          <w:r>
            <w:instrText xml:space="preserve"> PAGEREF _Toc258316431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2A2FF7E9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_Toc1459805230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4</w:t>
          </w:r>
          <w:r>
            <w:rPr>
              <w:rFonts w:ascii="Songti SC Regular" w:hAnsi="Songti SC Regular" w:eastAsia="Songti SC Regular" w:cs="Songti SC Regular"/>
            </w:rPr>
            <w:t>）意大利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意大利更新养老金代扣贷款第二季度利率门槛</w:t>
          </w:r>
          <w:r>
            <w:tab/>
          </w:r>
          <w:r>
            <w:fldChar w:fldCharType="begin"/>
          </w:r>
          <w:r>
            <w:instrText xml:space="preserve"> PAGEREF _Toc1459805230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8F0D32A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_Toc2093317282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5</w:t>
          </w:r>
          <w:r>
            <w:rPr>
              <w:rFonts w:ascii="Songti SC Regular" w:hAnsi="Songti SC Regular" w:eastAsia="Songti SC Regular" w:cs="Songti SC Regular"/>
            </w:rPr>
            <w:t>）日本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日本上调在职老龄年金减额门槛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_Toc2093317282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7CE3DB53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_Toc158969773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6</w:t>
          </w:r>
          <w:r>
            <w:rPr>
              <w:rFonts w:ascii="Songti SC Regular" w:hAnsi="Songti SC Regular" w:eastAsia="Songti SC Regular" w:cs="Songti SC Regular"/>
            </w:rPr>
            <w:t>）日本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日本</w:t>
          </w:r>
          <w:r>
            <w:t>2026</w:t>
          </w:r>
          <w:r>
            <w:rPr>
              <w:rFonts w:ascii="Songti SC Regular" w:hAnsi="Songti SC Regular" w:eastAsia="Songti SC Regular" w:cs="Songti SC Regular"/>
            </w:rPr>
            <w:t>年度国民年金与相关给付标准启动调整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_Toc158969773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B02EF08">
          <w:pPr>
            <w:pStyle w:val="10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_Toc335317943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二、养老金投资</w:t>
          </w:r>
          <w:r>
            <w:tab/>
          </w:r>
          <w:r>
            <w:fldChar w:fldCharType="begin"/>
          </w:r>
          <w:r>
            <w:instrText xml:space="preserve"> PAGEREF _Toc335317943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C84943A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_Toc691578273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7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英国养老金资金承诺投向</w:t>
          </w:r>
          <w:r>
            <w:t>British Growth Partnership</w:t>
          </w:r>
          <w:r>
            <w:rPr>
              <w:rFonts w:ascii="Songti SC Regular" w:hAnsi="Songti SC Regular" w:eastAsia="Songti SC Regular" w:cs="Songti SC Regular"/>
            </w:rPr>
            <w:t>基金</w:t>
          </w:r>
          <w:r>
            <w:tab/>
          </w:r>
          <w:r>
            <w:fldChar w:fldCharType="begin"/>
          </w:r>
          <w:r>
            <w:instrText xml:space="preserve"> PAGEREF _Toc691578273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69AC0D90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_Toc1174536747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8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大曼彻斯特养老金基金与贝莱德发起医疗设施投资合作</w:t>
          </w:r>
          <w:r>
            <w:tab/>
          </w:r>
          <w:r>
            <w:fldChar w:fldCharType="begin"/>
          </w:r>
          <w:r>
            <w:instrText xml:space="preserve"> PAGEREF _Toc1174536747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547BDA54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_Toc769423605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9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标准人寿推出面向养老金默认账户的私募市场方案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_Toc769423605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1C8281AD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_Toc1703490648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10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人民养老金调整气候投资框架以强调现实风险管理</w:t>
          </w:r>
          <w:r>
            <w:tab/>
          </w:r>
          <w:r>
            <w:fldChar w:fldCharType="begin"/>
          </w:r>
          <w:r>
            <w:instrText xml:space="preserve"> PAGEREF _Toc1703490648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319368DC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_Toc315339132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11</w:t>
          </w:r>
          <w:r>
            <w:rPr>
              <w:rFonts w:ascii="Songti SC Regular" w:hAnsi="Songti SC Regular" w:eastAsia="Songti SC Regular" w:cs="Songti SC Regular"/>
            </w:rPr>
            <w:t>）巴西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巴西补充养老金</w:t>
          </w:r>
          <w:r>
            <w:t>2025</w:t>
          </w:r>
          <w:r>
            <w:rPr>
              <w:rFonts w:ascii="Songti SC Regular" w:hAnsi="Songti SC Regular" w:eastAsia="Songti SC Regular" w:cs="Songti SC Regular"/>
            </w:rPr>
            <w:t>年平均收益率升至</w:t>
          </w:r>
          <w:r>
            <w:t>13.23%</w:t>
          </w:r>
          <w:r>
            <w:tab/>
          </w:r>
          <w:r>
            <w:fldChar w:fldCharType="begin"/>
          </w:r>
          <w:r>
            <w:instrText xml:space="preserve"> PAGEREF _Toc315339132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A9678E7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_Toc2062634375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12</w:t>
          </w:r>
          <w:r>
            <w:rPr>
              <w:rFonts w:ascii="Songti SC Regular" w:hAnsi="Songti SC Regular" w:eastAsia="Songti SC Regular" w:cs="Songti SC Regular"/>
            </w:rPr>
            <w:t>）加拿大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阿尔伯塔省养老基金去年回报</w:t>
          </w:r>
          <w:r>
            <w:t>7.5%</w:t>
          </w:r>
          <w:r>
            <w:rPr>
              <w:rFonts w:ascii="Songti SC Regular" w:hAnsi="Songti SC Regular" w:eastAsia="Songti SC Regular" w:cs="Songti SC Regular"/>
            </w:rPr>
            <w:t>，股票成主要推手</w:t>
          </w:r>
          <w:r>
            <w:tab/>
          </w:r>
          <w:r>
            <w:fldChar w:fldCharType="begin"/>
          </w:r>
          <w:r>
            <w:instrText xml:space="preserve"> PAGEREF _Toc2062634375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7446724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_Toc2014910751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13</w:t>
          </w:r>
          <w:r>
            <w:rPr>
              <w:rFonts w:ascii="Songti SC Regular" w:hAnsi="Songti SC Regular" w:eastAsia="Songti SC Regular" w:cs="Songti SC Regular"/>
            </w:rPr>
            <w:t>）荷兰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荷兰养老基金</w:t>
          </w:r>
          <w:r>
            <w:t>2025</w:t>
          </w:r>
          <w:r>
            <w:rPr>
              <w:rFonts w:ascii="Songti SC Regular" w:hAnsi="Songti SC Regular" w:eastAsia="Songti SC Regular" w:cs="Songti SC Regular"/>
            </w:rPr>
            <w:t>年增配欧洲债券、减持美国资产</w:t>
          </w:r>
          <w:r>
            <w:tab/>
          </w:r>
          <w:r>
            <w:fldChar w:fldCharType="begin"/>
          </w:r>
          <w:r>
            <w:instrText xml:space="preserve"> PAGEREF _Toc2014910751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304F4CEB">
          <w:pPr>
            <w:outlineLvl w:val="9"/>
            <w:rPr>
              <w:rFonts w:ascii="Songti SC Regular" w:hAnsi="Songti SC Regular" w:eastAsia="Songti SC Regular" w:cs="Songti SC Regular"/>
              <w:strike w:val="0"/>
              <w:sz w:val="21"/>
              <w:szCs w:val="21"/>
              <w:u w:val="none"/>
              <w:vertAlign w:val="baseline"/>
              <w:lang w:val="zh-CN" w:eastAsia="zh-CN" w:bidi="zh-CN"/>
              <w14:ligatures w14:val="standardContextual"/>
            </w:rPr>
          </w:pP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</w:sdtContent>
    </w:sdt>
    <w:p>
      <w:pPr>
        <w:spacing w:after="40" w:line="240" w:lineRule="auto"/>
        <w:jc w:val="center"/>
      </w:pPr>
      <w:r>
        <w:rPr>
          <w:rFonts w:ascii="Microsoft YaHei" w:hAnsi="Microsoft YaHei" w:eastAsia="Microsoft YaHei"/>
          <w:b/>
          <w:sz w:val="44"/>
        </w:rPr>
        <w:t>债券发行周报</w:t>
      </w:r>
    </w:p>
    <w:p>
      <w:pPr>
        <w:spacing w:after="320" w:line="240" w:lineRule="auto"/>
        <w:jc w:val="center"/>
      </w:pPr>
      <w:r>
        <w:rPr>
          <w:rFonts w:ascii="Microsoft YaHei" w:hAnsi="Microsoft YaHei" w:eastAsia="Microsoft YaHei"/>
          <w:sz w:val="24"/>
        </w:rPr>
        <w:t>2026年4月13日—2026年4月19日</w:t>
      </w:r>
    </w:p>
    <w:p>
      <w:pPr>
        <w:pStyle w:val="3"/>
        <w:spacing w:before="280" w:after="120"/>
      </w:pPr>
      <w:r>
        <w:rPr>
          <w:rFonts w:ascii="Microsoft YaHei" w:hAnsi="Microsoft YaHei" w:eastAsia="Microsoft YaHei"/>
          <w:color w:val="262626"/>
          <w:sz w:val="30"/>
        </w:rPr>
        <w:t>一、发行总量特征</w:t>
      </w:r>
    </w:p>
    <w:p>
      <w:pPr>
        <w:spacing w:after="120" w:line="324" w:lineRule="auto"/>
        <w:ind w:firstLine="482"/>
      </w:pPr>
      <w:r>
        <w:rPr>
          <w:rFonts w:ascii="Microsoft YaHei" w:hAnsi="Microsoft YaHei" w:eastAsia="Microsoft YaHei"/>
          <w:sz w:val="24"/>
        </w:rPr>
        <w:t>本周（2026年4月13日—2026年4月19日），地方政府债券市场共发行30只债券，发行总规模1,290.26亿元。较上周（16只、1,475.02亿元），规模下降12.5%，单只均额43.0086亿元（上周92.1887亿元）。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403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3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Microsoft YaHei" w:hAnsi="Microsoft YaHei" w:eastAsia="Microsoft YaHei"/>
          <w:color w:val="666666"/>
          <w:sz w:val="20"/>
        </w:rPr>
        <w:t>图1　近期地方债发行规模与只数变化</w:t>
      </w:r>
    </w:p>
    <w:p>
      <w:pPr>
        <w:spacing w:after="120" w:before="80" w:line="324" w:lineRule="auto"/>
        <w:ind w:firstLine="482"/>
      </w:pPr>
      <w:r>
        <w:rPr>
          <w:rFonts w:ascii="Microsoft YaHei" w:hAnsi="Microsoft YaHei" w:eastAsia="Microsoft YaHei"/>
          <w:sz w:val="24"/>
        </w:rPr>
        <w:t>新增专项债本周放量是最值得关注的变化。发行428.28亿元，环比增长246%，再融资占比从87%降至66.1%，发行重心从存量债务置换向新增项目融资转移。与此同时，发行格局从“少量大额”转向“多只分散”——30只债券发行但总规模缩减12.5%，单只均额从92.19亿元降至43.01亿元。山东单省贡献12只再融资债是均额下降的直接原因，该省大量小额债券于同一周到期，形成了集中滚续需求。财政部本周在中央和地方两个层面同步推进债务融资：4月17日公布全年国债发行安排并启动超长期特别国债招标，国债发行节奏的明确化有助于市场形成稳定预期，标志着二季度积极财政已进入实质落地阶段。</w:t>
      </w:r>
    </w:p>
    <w:p>
      <w:pPr>
        <w:pStyle w:val="3"/>
        <w:spacing w:before="280" w:after="120"/>
      </w:pPr>
      <w:r>
        <w:rPr>
          <w:rFonts w:ascii="Microsoft YaHei" w:hAnsi="Microsoft YaHei" w:eastAsia="Microsoft YaHei"/>
          <w:color w:val="262626"/>
          <w:sz w:val="30"/>
        </w:rPr>
        <w:t>二、类型特征与变化</w:t>
      </w:r>
    </w:p>
    <w:p>
      <w:pPr>
        <w:spacing w:after="120" w:line="324" w:lineRule="auto"/>
        <w:ind w:firstLine="482"/>
      </w:pPr>
      <w:r>
        <w:rPr>
          <w:rFonts w:ascii="Microsoft YaHei" w:hAnsi="Microsoft YaHei" w:eastAsia="Microsoft YaHei"/>
          <w:sz w:val="24"/>
        </w:rPr>
        <w:t>本周发行结构：再融资债券15只、852.75亿元（66.1%），新增专项债券13只、428.28亿元（33.2%），一般债券2只、9.2300亿元（0.7%）。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575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7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Microsoft YaHei" w:hAnsi="Microsoft YaHei" w:eastAsia="Microsoft YaHei"/>
          <w:color w:val="666666"/>
          <w:sz w:val="20"/>
        </w:rPr>
        <w:t>图2　本周债券类型结构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2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Microsoft YaHei" w:hAnsi="Microsoft YaHei" w:eastAsia="Microsoft YaHei"/>
          <w:color w:val="666666"/>
          <w:sz w:val="20"/>
        </w:rPr>
        <w:t>图3　本周各类型债券发行规模</w:t>
      </w:r>
    </w:p>
    <w:p>
      <w:pPr>
        <w:spacing w:after="120" w:before="80" w:line="324" w:lineRule="auto"/>
        <w:ind w:firstLine="482"/>
      </w:pPr>
      <w:r>
        <w:rPr>
          <w:rFonts w:ascii="Microsoft YaHei" w:hAnsi="Microsoft YaHei" w:eastAsia="Microsoft YaHei"/>
          <w:sz w:val="24"/>
        </w:rPr>
        <w:t>专项债需对应具体基建项目，放量意味着地方项目储备正加速进入融资阶段，与年初积极财政“靠前发力”的节奏一致。再融资债券虽仍占比最高（66.1%），但较上周87%显著收窄，发行重心正从存量债务置换向新增项目融资转移。一般债券仅占0.7%（9.83亿元），这与专项债额度尚未充分使用有关——财政部4月17日公布的超长期特别国债招标安排，预示着更多新增额度将在后续周次释放。</w:t>
      </w:r>
    </w:p>
    <w:p>
      <w:pPr>
        <w:pStyle w:val="3"/>
        <w:spacing w:before="280" w:after="120"/>
      </w:pPr>
      <w:r>
        <w:rPr>
          <w:rFonts w:ascii="Microsoft YaHei" w:hAnsi="Microsoft YaHei" w:eastAsia="Microsoft YaHei"/>
          <w:color w:val="262626"/>
          <w:sz w:val="30"/>
        </w:rPr>
        <w:t>三、利率特征与变化</w:t>
      </w:r>
    </w:p>
    <w:p>
      <w:pPr>
        <w:spacing w:after="120" w:line="324" w:lineRule="auto"/>
        <w:ind w:firstLine="482"/>
      </w:pPr>
      <w:r>
        <w:rPr>
          <w:rFonts w:ascii="Microsoft YaHei" w:hAnsi="Microsoft YaHei" w:eastAsia="Microsoft YaHei"/>
          <w:sz w:val="24"/>
        </w:rPr>
        <w:t>本周票面利率区间1.60%—2.48%，均值2.10%。地区利差70个基点（广东1.75%—河北2.45%）。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621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_k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62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Microsoft YaHei" w:hAnsi="Microsoft YaHei" w:eastAsia="Microsoft YaHei"/>
          <w:color w:val="666666"/>
          <w:sz w:val="20"/>
        </w:rPr>
        <w:t>图4　本周与上周发行利率分布对比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0281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rate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2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Microsoft YaHei" w:hAnsi="Microsoft YaHei" w:eastAsia="Microsoft YaHei"/>
          <w:color w:val="666666"/>
          <w:sz w:val="20"/>
        </w:rPr>
        <w:t>图5　本周分地区平均利率</w:t>
      </w:r>
    </w:p>
    <w:p>
      <w:pPr>
        <w:spacing w:after="120" w:before="80" w:line="324" w:lineRule="auto"/>
        <w:ind w:firstLine="482"/>
      </w:pPr>
      <w:r>
        <w:rPr>
          <w:rFonts w:ascii="Microsoft YaHei" w:hAnsi="Microsoft YaHei" w:eastAsia="Microsoft YaHei"/>
          <w:sz w:val="24"/>
        </w:rPr>
        <w:t>利率均值从1.78%升至2.10%，表面看融资成本抬升，但这主要是期限结构的映射——30只债券中21只为10年期以上，新增专项债对应基建项目的回收周期，天然需要长期限配资。广东1.60%与云南2.48%之间88个基点的利差，折射了东西部债务信用的分化。广东作为经济强省，财政实力和债务信用评级均处全国前列，融资成本自然较低；云南作为西部省份，债务负担相对较重，市场定价自然包含更高的信用风险溢价。</w:t>
      </w:r>
    </w:p>
    <w:p>
      <w:pPr>
        <w:pStyle w:val="3"/>
        <w:spacing w:before="280" w:after="120"/>
      </w:pPr>
      <w:r>
        <w:rPr>
          <w:rFonts w:ascii="Microsoft YaHei" w:hAnsi="Microsoft YaHei" w:eastAsia="Microsoft YaHei"/>
          <w:color w:val="262626"/>
          <w:sz w:val="30"/>
        </w:rPr>
        <w:t>四、地区特征与变化</w:t>
      </w:r>
    </w:p>
    <w:p>
      <w:pPr>
        <w:spacing w:after="120" w:line="324" w:lineRule="auto"/>
        <w:ind w:firstLine="482"/>
      </w:pPr>
      <w:r>
        <w:rPr>
          <w:rFonts w:ascii="Microsoft YaHei" w:hAnsi="Microsoft YaHei" w:eastAsia="Microsoft YaHei"/>
          <w:sz w:val="24"/>
        </w:rPr>
        <w:t>本周7个省（自治区）参与发行：山东、云南、陕西、广东、辽宁、青岛、河北。山东发行规模最大（418.81亿元，占32.5%）。本周发行地区与上周完全不重叠，呈现明显轮动。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64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p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Microsoft YaHei" w:hAnsi="Microsoft YaHei" w:eastAsia="Microsoft YaHei"/>
          <w:color w:val="666666"/>
          <w:sz w:val="20"/>
        </w:rPr>
        <w:t>图6　本周发行地区分布</w:t>
      </w:r>
    </w:p>
    <w:p>
      <w:pPr>
        <w:spacing w:after="120" w:before="80" w:line="324" w:lineRule="auto"/>
        <w:ind w:firstLine="482"/>
      </w:pPr>
      <w:r>
        <w:rPr>
          <w:rFonts w:ascii="Microsoft YaHei" w:hAnsi="Microsoft YaHei" w:eastAsia="Microsoft YaHei"/>
          <w:sz w:val="24"/>
        </w:rPr>
        <w:t>地区层面呈现明显的轮动特征，本周七个省份与上周5省完全不重叠。以云南为例，其300亿元全部为再融资专项债，延续的是西部省份通过再融资置换隐性债务的持续进程；而广东的新增专项债则指向新建项目融资，两类省份的差异体现了当前地方债发行的双轨特征。山东以418.81亿元居首（占32.5%），12只债券以中小额为主，反映了到期债务集中滚续的省份特征。4月15日财政部宣布在港发行155亿元人民币国债，国际化融资渠道的拓展也为国内地方债市场腾出了更多空间。</w:t>
      </w:r>
    </w:p>
    <w:p>
      <w:pPr>
        <w:sectPr>
          <w:footerReference r:id="rId5" w:type="default"/>
          <w:footnotePr>
            <w:numFmt w:val="decimal"/>
            <w:numRestart w:val="eachSect"/>
          </w:footnotePr>
          <w:endnotePr>
            <w:numFmt w:val="decimal"/>
            <w:numRestart w:val="eachSect"/>
          </w:endnotePr>
          <w:pgSz w:w="11900" w:h="16840"/>
          <w:pgMar w:top="1440" w:right="1440" w:bottom="1440" w:left="1440" w:header="0" w:footer="1133" w:gutter="0"/>
          <w:cols w:space="720" w:num="1"/>
        </w:sectPr>
      </w:pPr>
    </w:p>
    <w:p>
      <w:pPr>
        <w:pStyle w:val="3"/>
        <w:spacing w:before="280" w:after="120"/>
      </w:pPr>
      <w:r>
        <w:rPr>
          <w:rFonts w:ascii="Microsoft YaHei" w:hAnsi="Microsoft YaHei" w:eastAsia="Microsoft YaHei"/>
          <w:color w:val="262626"/>
          <w:sz w:val="30"/>
        </w:rPr>
        <w:t>附录：本周发行债券明细</w:t>
      </w:r>
    </w:p>
    <w:p>
      <w:pPr>
        <w:spacing w:after="80" w:line="324" w:lineRule="auto"/>
      </w:pPr>
      <w:r>
        <w:rPr>
          <w:rFonts w:ascii="Microsoft YaHei" w:hAnsi="Microsoft YaHei" w:eastAsia="Microsoft YaHei"/>
          <w:sz w:val="21"/>
        </w:rPr>
        <w:t>共计30只债券，数据来源：中国债券信息网。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567"/>
            <w:shd w:fill="E8EBF0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序号</w:t>
            </w:r>
          </w:p>
        </w:tc>
        <w:tc>
          <w:tcPr>
            <w:tcW w:type="dxa" w:w="5102"/>
            <w:shd w:fill="E8EBF0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债券名称</w:t>
            </w:r>
          </w:p>
        </w:tc>
        <w:tc>
          <w:tcPr>
            <w:tcW w:type="dxa" w:w="1417"/>
            <w:shd w:fill="E8EBF0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发行人</w:t>
            </w:r>
          </w:p>
        </w:tc>
        <w:tc>
          <w:tcPr>
            <w:tcW w:type="dxa" w:w="1984"/>
            <w:shd w:fill="E8EBF0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细分类型</w:t>
            </w:r>
          </w:p>
        </w:tc>
        <w:tc>
          <w:tcPr>
            <w:tcW w:type="dxa" w:w="1134"/>
            <w:shd w:fill="E8EBF0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期限</w:t>
            </w:r>
          </w:p>
        </w:tc>
        <w:tc>
          <w:tcPr>
            <w:tcW w:type="dxa" w:w="1134"/>
            <w:shd w:fill="E8EBF0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利率(%)</w:t>
            </w:r>
          </w:p>
        </w:tc>
        <w:tc>
          <w:tcPr>
            <w:tcW w:type="dxa" w:w="1417"/>
            <w:shd w:fill="E8EBF0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规模(亿元)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2026年河北省政府专项债券（十七期）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河北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60.0000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2026年山东省政府专项债券（十八期）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1.73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12.3800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2026年山东省政府专项债券（十九期）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99.8100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2026年山东省政府专项债券（二十期）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2.24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54.3500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2026年山东省政府专项债券（二十一期）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1.92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8.0600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2026年山东省政府专项债券（二十二期）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1.93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4.4500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2026年山东省政府专项债券（二十三期）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2.25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11.5600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2026年山东省政府一般债券（一期）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新增一般债券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1.91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7.2300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2026年山东省地方政府再融资一般债券（三期）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再融资一般债券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1.91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124.26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2026年山东省地方政府再融资专项债券（十五期）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1.93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18.4100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2026年山东省地方政府再融资专项债券（十六期）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1.93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9.8500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2026年山东省地方政府再融资专项债券（十七期）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2.24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35.3900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2026年山东省地方政府再融资专项债券（十八期）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山东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33.0600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2026年云南省地方政府再融资专项债券（三期）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云南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1.73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100.00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2026年云南省地方政府再融资专项债券（四期）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云南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1.94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100.00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2026年云南省地方政府再融资专项债券（五期）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云南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2.47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100.00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2026年广东省政府专项债券（二十二期）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广东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1.60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114.80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2026年广东省政府专项债券（二十三期）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广东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1.90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30.9936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2026年青岛市政府一般债券（三期）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青岛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新增一般债券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2.0000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2026年青岛市政府再融资专项债券（九期）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青岛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2.41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6.5500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2026年青岛市政府再融资专项债券（十期）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青岛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20.2100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2026年青岛市政府专项债券（十七期）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青岛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1.90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2026年青岛市政府专项债券（十八期）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青岛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2.23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2.6000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2026年青岛市政府专项债券（十九期）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青岛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2.41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22.6000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2026年青岛市政府专项债券（二十期）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青岛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5.6800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2026年辽宁省地方政府再融资一般债券（四期）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辽宁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再融资一般债券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1.72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47.1400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2026年辽宁省地方政府再融资专项债券（四期）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辽宁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45.9700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2026年辽宁省地方政府再融资专项债券（五期）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辽宁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2.42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45.7000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2026年陕西省地方政府再融资一般债券（二期）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陕西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再融资一般债券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1.90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149.20</w:t>
            </w:r>
          </w:p>
        </w:tc>
      </w:tr>
      <w:tr>
        <w:tc>
          <w:tcPr>
            <w:tcW w:type="dxa" w:w="56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</w:t>
            </w:r>
          </w:p>
        </w:tc>
        <w:tc>
          <w:tcPr>
            <w:tcW w:type="dxa" w:w="5102"/>
            <w:shd w:fill="F5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2026年陕西省地方政府再融资专项债券（四期）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陕西</w:t>
            </w:r>
          </w:p>
        </w:tc>
        <w:tc>
          <w:tcPr>
            <w:tcW w:type="dxa" w:w="198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再融资专项债券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10年</w:t>
            </w:r>
          </w:p>
        </w:tc>
        <w:tc>
          <w:tcPr>
            <w:tcW w:type="dxa" w:w="1134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1.93</w:t>
            </w:r>
          </w:p>
        </w:tc>
        <w:tc>
          <w:tcPr>
            <w:tcW w:type="dxa" w:w="1417"/>
            <w:shd w:fill="F5F6F8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17.0108</w:t>
            </w:r>
          </w:p>
        </w:tc>
      </w:tr>
    </w:tbl>
    <w:p>
      <w:pPr>
        <w:spacing w:after="120" w:line="324" w:lineRule="auto"/>
      </w:pPr>
      <w:r>
        <w:rPr>
          <w:rFonts w:ascii="Microsoft YaHei" w:hAnsi="Microsoft YaHei" w:eastAsia="Microsoft YaHei"/>
          <w:sz w:val="24"/>
        </w:rPr>
      </w:r>
    </w:p>
    <w:p>
      <w:pPr>
        <w:spacing w:after="40" w:line="240" w:lineRule="auto"/>
      </w:pPr>
      <w:r>
        <w:rPr>
          <w:rFonts w:ascii="Microsoft YaHei" w:hAnsi="Microsoft YaHei" w:eastAsia="Microsoft YaHei"/>
          <w:color w:val="888888"/>
          <w:sz w:val="18"/>
        </w:rPr>
        <w:t>数据来源：中央国债登记结算有限责任公司，地方政府债券信息披露门户（chinabond.com.cn），2026年4月13日—2026年4月19日</w:t>
      </w:r>
    </w:p>
    <w:sectPr>
      <w:footnotePr>
        <w:numFmt w:val="decimal"/>
        <w:numRestart w:val="eachSect"/>
      </w:footnotePr>
      <w:endnotePr>
        <w:numFmt w:val="decimal"/>
        <w:numRestart w:val="eachSect"/>
      </w:endnotePr>
      <w:type w:val="nextPage"/>
      <w:pgSz w:w="16838" w:h="11906" w:orient="landscape"/>
      <w:pgMar w:top="1134" w:right="1134" w:bottom="1134" w:left="1134" w:header="0" w:footer="11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8BBE3">
    <w:pPr>
      <w:jc w:val="center"/>
    </w:pPr>
    <w:r>
      <w:fldChar w:fldCharType="begin"/>
    </w:r>
    <w:r>
      <w:instrText xml:space="preserve">PAGE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autoHyphenation/>
  <w:footnotePr>
    <w:numRestart w:val="eachSect"/>
    <w:footnote w:id="0"/>
    <w:footnote w:id="1"/>
  </w:footnotePr>
  <w:endnotePr>
    <w:numFmt w:val="decimal"/>
    <w:numRestart w:val="eachSect"/>
    <w:endnote w:id="0"/>
    <w:endnote w:id="1"/>
  </w:endnotePr>
  <w:compat>
    <w:useFELayout/>
    <w:compatSetting w:name="compatibilityMode" w:uri="http://schemas.microsoft.com/office/word" w:val="15"/>
    <w:compatSetting w:name="enableOpenTypeFeatures" w:uri="http://schemas.microsoft.com/office/word" w:val="1"/>
  </w:compat>
  <w:rsids>
    <w:rsidRoot w:val="00000000"/>
    <w:rsid w:val="FFCBAB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1" w:name="heading 5"/>
    <w:lsdException w:qFormat="1" w:uiPriority="1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" w:semiHidden="0" w:name="Strong"/>
    <w:lsdException w:qFormat="1" w:unhideWhenUsed="0" w:uiPriority="2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420" w:lineRule="atLeast"/>
      <w:jc w:val="both"/>
    </w:pPr>
    <w:rPr>
      <w:rFonts w:ascii="Times New Roman" w:hAnsi="Times New Roman" w:eastAsia="Times New Roman" w:cs="Times New Roman"/>
      <w:sz w:val="21"/>
      <w:szCs w:val="21"/>
      <w:u w:val="none"/>
      <w:vertAlign w:val="baseline"/>
      <w:lang w:val="zh-CN" w:eastAsia="zh-CN" w:bidi="zh-CN"/>
      <w14:ligatures w14:val="standardContextual"/>
    </w:rPr>
  </w:style>
  <w:style w:type="paragraph" w:styleId="2">
    <w:name w:val="heading 1"/>
    <w:basedOn w:val="1"/>
    <w:qFormat/>
    <w:uiPriority w:val="1"/>
    <w:pPr>
      <w:spacing w:line="720" w:lineRule="atLeast"/>
      <w:jc w:val="center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3">
    <w:name w:val="heading 2"/>
    <w:basedOn w:val="1"/>
    <w:qFormat/>
    <w:uiPriority w:val="1"/>
    <w:pPr>
      <w:spacing w:line="600" w:lineRule="atLeast"/>
      <w:jc w:val="left"/>
    </w:pPr>
    <w:rPr>
      <w:rFonts w:ascii="Times New Roman" w:hAnsi="Times New Roman" w:eastAsia="Times New Roman" w:cs="Times New Roman"/>
      <w:b/>
      <w:sz w:val="30"/>
      <w:szCs w:val="30"/>
    </w:rPr>
  </w:style>
  <w:style w:type="paragraph" w:styleId="4">
    <w:name w:val="heading 3"/>
    <w:basedOn w:val="1"/>
    <w:qFormat/>
    <w:uiPriority w:val="1"/>
    <w:pPr>
      <w:spacing w:line="560" w:lineRule="atLeast"/>
      <w:jc w:val="left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5">
    <w:name w:val="heading 4"/>
    <w:basedOn w:val="1"/>
    <w:qFormat/>
    <w:uiPriority w:val="1"/>
    <w:pPr>
      <w:spacing w:line="480" w:lineRule="atLeast"/>
      <w:ind w:firstLine="431"/>
      <w:jc w:val="left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6">
    <w:name w:val="heading 5"/>
    <w:basedOn w:val="1"/>
    <w:semiHidden/>
    <w:unhideWhenUsed/>
    <w:qFormat/>
    <w:uiPriority w:val="1"/>
    <w:pPr>
      <w:ind w:firstLine="431"/>
      <w:jc w:val="left"/>
    </w:pPr>
    <w:rPr>
      <w:rFonts w:ascii="Times New Roman" w:hAnsi="Times New Roman" w:eastAsia="Times New Roman" w:cs="Times New Roman"/>
      <w:b/>
      <w:i/>
    </w:rPr>
  </w:style>
  <w:style w:type="paragraph" w:styleId="7">
    <w:name w:val="heading 6"/>
    <w:basedOn w:val="1"/>
    <w:semiHidden/>
    <w:unhideWhenUsed/>
    <w:qFormat/>
    <w:uiPriority w:val="1"/>
    <w:pPr>
      <w:ind w:firstLine="431"/>
      <w:jc w:val="left"/>
    </w:pPr>
    <w:rPr>
      <w:rFonts w:ascii="Times New Roman" w:hAnsi="Times New Roman" w:eastAsia="Times New Roman" w:cs="Times New Roman"/>
      <w:i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character" w:styleId="13">
    <w:name w:val="Strong"/>
    <w:qFormat/>
    <w:uiPriority w:val="2"/>
    <w:rPr>
      <w:rFonts w:ascii="Times New Roman" w:hAnsi="Times New Roman" w:eastAsia="Times New Roman" w:cs="Times New Roman"/>
      <w:b/>
    </w:rPr>
  </w:style>
  <w:style w:type="character" w:styleId="14">
    <w:name w:val="Emphasis"/>
    <w:qFormat/>
    <w:uiPriority w:val="2"/>
    <w:rPr>
      <w:rFonts w:ascii="Times New Roman" w:hAnsi="Times New Roman" w:eastAsia="Times New Roman" w:cs="Times New Roman"/>
      <w:i/>
    </w:rPr>
  </w:style>
  <w:style w:type="paragraph" w:customStyle="1" w:styleId="15">
    <w:name w:val="分隔"/>
    <w:basedOn w:val="1"/>
    <w:semiHidden/>
    <w:unhideWhenUsed/>
    <w:qFormat/>
    <w:uiPriority w:val="1"/>
  </w:style>
  <w:style w:type="paragraph" w:customStyle="1" w:styleId="16">
    <w:name w:val="带虚线的列表"/>
    <w:basedOn w:val="1"/>
    <w:qFormat/>
    <w:uiPriority w:val="1"/>
  </w:style>
  <w:style w:type="paragraph" w:customStyle="1" w:styleId="17">
    <w:name w:val="Codeblock"/>
    <w:basedOn w:val="1"/>
    <w:semiHidden/>
    <w:unhideWhenUsed/>
    <w:qFormat/>
    <w:uiPriority w:val="1"/>
    <w:pPr>
      <w:spacing w:line="400" w:lineRule="atLeast"/>
    </w:pPr>
    <w:rPr>
      <w:rFonts w:ascii="Courier New" w:hAnsi="Courier New" w:eastAsia="Courier New" w:cs="Courier New"/>
      <w:color w:val="000000"/>
      <w:sz w:val="20"/>
      <w:szCs w:val="20"/>
    </w:rPr>
  </w:style>
  <w:style w:type="paragraph" w:customStyle="1" w:styleId="18">
    <w:name w:val="原始源块"/>
    <w:basedOn w:val="1"/>
    <w:semiHidden/>
    <w:unhideWhenUsed/>
    <w:qFormat/>
    <w:uiPriority w:val="1"/>
  </w:style>
  <w:style w:type="paragraph" w:customStyle="1" w:styleId="19">
    <w:name w:val="Paragraph"/>
    <w:basedOn w:val="1"/>
    <w:qFormat/>
    <w:uiPriority w:val="1"/>
    <w:pPr>
      <w:ind w:firstLine="431"/>
    </w:pPr>
  </w:style>
  <w:style w:type="paragraph" w:customStyle="1" w:styleId="20">
    <w:name w:val="Blockquote"/>
    <w:basedOn w:val="1"/>
    <w:semiHidden/>
    <w:unhideWhenUsed/>
    <w:qFormat/>
    <w:uiPriority w:val="1"/>
    <w:rPr>
      <w:rFonts w:ascii="Times New Roman" w:hAnsi="Times New Roman" w:eastAsia="Times New Roman" w:cs="Times New Roman"/>
      <w:i/>
    </w:rPr>
  </w:style>
  <w:style w:type="paragraph" w:customStyle="1" w:styleId="21">
    <w:name w:val="注释块"/>
    <w:basedOn w:val="1"/>
    <w:semiHidden/>
    <w:unhideWhenUsed/>
    <w:qFormat/>
    <w:uiPriority w:val="1"/>
  </w:style>
  <w:style w:type="paragraph" w:customStyle="1" w:styleId="22">
    <w:name w:val="带数字的列表"/>
    <w:basedOn w:val="1"/>
    <w:qFormat/>
    <w:uiPriority w:val="1"/>
  </w:style>
  <w:style w:type="paragraph" w:customStyle="1" w:styleId="23">
    <w:name w:val="字幕"/>
    <w:basedOn w:val="1"/>
    <w:semiHidden/>
    <w:unhideWhenUsed/>
    <w:qFormat/>
    <w:uiPriority w:val="1"/>
    <w:pPr>
      <w:spacing w:line="360" w:lineRule="atLeast"/>
      <w:jc w:val="center"/>
    </w:pPr>
    <w:rPr>
      <w:sz w:val="18"/>
      <w:szCs w:val="18"/>
    </w:rPr>
  </w:style>
  <w:style w:type="character" w:customStyle="1" w:styleId="24">
    <w:name w:val="标签"/>
    <w:semiHidden/>
    <w:unhideWhenUsed/>
    <w:qFormat/>
    <w:uiPriority w:val="2"/>
  </w:style>
  <w:style w:type="character" w:customStyle="1" w:styleId="25">
    <w:name w:val="Mark"/>
    <w:semiHidden/>
    <w:unhideWhenUsed/>
    <w:qFormat/>
    <w:uiPriority w:val="2"/>
  </w:style>
  <w:style w:type="character" w:customStyle="1" w:styleId="26">
    <w:name w:val="注释"/>
    <w:semiHidden/>
    <w:unhideWhenUsed/>
    <w:qFormat/>
    <w:uiPriority w:val="2"/>
  </w:style>
  <w:style w:type="character" w:customStyle="1" w:styleId="27">
    <w:name w:val="Link"/>
    <w:qFormat/>
    <w:uiPriority w:val="2"/>
    <w:rPr>
      <w:color w:val="3875D7"/>
      <w:u w:val="single" w:color="3875D7"/>
    </w:rPr>
  </w:style>
  <w:style w:type="character" w:customStyle="1" w:styleId="28">
    <w:name w:val="修正"/>
    <w:semiHidden/>
    <w:unhideWhenUsed/>
    <w:qFormat/>
    <w:uiPriority w:val="2"/>
  </w:style>
  <w:style w:type="character" w:customStyle="1" w:styleId="29">
    <w:name w:val="Inline Code"/>
    <w:semiHidden/>
    <w:unhideWhenUsed/>
    <w:qFormat/>
    <w:uiPriority w:val="2"/>
    <w:rPr>
      <w:rFonts w:ascii="Courier New" w:hAnsi="Courier New" w:eastAsia="Courier New" w:cs="Courier New"/>
    </w:rPr>
  </w:style>
  <w:style w:type="character" w:customStyle="1" w:styleId="30">
    <w:name w:val="批注"/>
    <w:semiHidden/>
    <w:unhideWhenUsed/>
    <w:qFormat/>
    <w:uiPriority w:val="2"/>
  </w:style>
  <w:style w:type="character" w:customStyle="1" w:styleId="31">
    <w:name w:val="原始源"/>
    <w:semiHidden/>
    <w:unhideWhenUsed/>
    <w:qFormat/>
    <w:uiPriority w:val="2"/>
  </w:style>
  <w:style w:type="character" w:customStyle="1" w:styleId="32">
    <w:name w:val="Inline Cite"/>
    <w:semiHidden/>
    <w:unhideWhenUsed/>
    <w:qFormat/>
    <w:uiPriority w:val="2"/>
    <w:rPr>
      <w:rFonts w:ascii="Times New Roman" w:hAnsi="Times New Roman" w:eastAsia="Times New Roman" w:cs="Times New Roman"/>
      <w:i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2026-04-05T01:12:39Z</dcterms:created>
  <dc:creator>Data</dc:creator>
  <cp:lastModifiedBy>Z-Yingbo</cp:lastModifiedBy>
  <dcterms:modified xsi:type="dcterms:W3CDTF">2026-04-05T01:13:10Z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0C63FCCE50EDD19CA646D16960D67455_42</vt:lpwstr>
  </property>
</Properties>
</file>