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strike w:val="0"/>
          <w:sz w:val="21"/>
          <w:szCs w:val="21"/>
          <w:u w:val="none"/>
          <w:vertAlign w:val="baseline"/>
          <w:lang w:val="zh-CN" w:eastAsia="zh-CN" w:bidi="zh-CN"/>
          <w14:ligatures w14:val="standardContextual"/>
        </w:rPr>
        <w:id w:val="435412447"/>
        <w15:color w:val="DBDBDB"/>
        <w:docPartObj>
          <w:docPartGallery w:val="Table of Contents"/>
          <w:docPartUnique/>
        </w:docPartObj>
      </w:sdtPr>
      <w:sdtEndPr>
        <w:rPr>
          <w:rFonts w:ascii="Songti SC Regular" w:hAnsi="Songti SC Regular" w:eastAsia="Songti SC Regular" w:cs="Songti SC Regular"/>
          <w:strike w:val="0"/>
          <w:sz w:val="21"/>
          <w:szCs w:val="21"/>
          <w:u w:val="none"/>
          <w:vertAlign w:val="baseline"/>
          <w:lang w:val="zh-CN" w:eastAsia="zh-CN" w:bidi="zh-CN"/>
          <w14:ligatures w14:val="standardContextual"/>
        </w:rPr>
      </w:sdtEndPr>
      <w:sdtContent>
        <w:p w14:paraId="3AFB9A0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strike w:val="0"/>
              <w:sz w:val="21"/>
              <w:szCs w:val="21"/>
              <w:u w:val="none"/>
              <w:vertAlign w:val="baseline"/>
              <w:lang w:val="zh-CN" w:eastAsia="zh-CN" w:bidi="zh-CN"/>
              <w14:ligatures w14:val="standardContextual"/>
            </w:rPr>
          </w:pPr>
        </w:p>
        <w:p w14:paraId="5EA866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bookmarkStart w:id="16" w:name="_GoBack"/>
          <w:r>
            <w:rPr>
              <w:rFonts w:ascii="宋体" w:hAnsi="宋体" w:eastAsia="宋体"/>
              <w:b/>
              <w:bCs/>
              <w:sz w:val="21"/>
            </w:rPr>
            <w:t>目</w:t>
          </w:r>
          <w:r>
            <w:rPr>
              <w:rFonts w:hint="eastAsia" w:ascii="宋体" w:hAnsi="宋体" w:eastAsia="宋体"/>
              <w:b/>
              <w:bCs/>
              <w:sz w:val="21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1"/>
            </w:rPr>
            <w:t>录</w:t>
          </w:r>
        </w:p>
        <w:bookmarkEnd w:id="16"/>
        <w:p w14:paraId="4EB8F95A">
          <w:pPr>
            <w:pStyle w:val="9"/>
            <w:tabs>
              <w:tab w:val="right" w:leader="dot" w:pos="9020"/>
            </w:tabs>
            <w:ind w:left="420" w:leftChars="200" w:firstLine="0" w:firstLineChars="0"/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TOC \o "1-3" \h \u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_Toc570105430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一、养老金政策与管理</w:t>
          </w:r>
          <w:r>
            <w:tab/>
          </w:r>
          <w:r>
            <w:fldChar w:fldCharType="begin"/>
          </w:r>
          <w:r>
            <w:instrText xml:space="preserve"> PAGEREF _Toc570105430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071360A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_Toc1837412743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</w:t>
          </w:r>
          <w:r>
            <w:rPr>
              <w:rFonts w:ascii="Songti SC Regular" w:hAnsi="Songti SC Regular" w:eastAsia="Songti SC Regular" w:cs="Songti SC Regular"/>
            </w:rPr>
            <w:t>）俄罗斯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俄罗斯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月上调国家养老金并同步提高护理补贴</w:t>
          </w:r>
          <w:r>
            <w:tab/>
          </w:r>
          <w:r>
            <w:fldChar w:fldCharType="begin"/>
          </w:r>
          <w:r>
            <w:instrText xml:space="preserve"> PAGEREF _Toc1837412743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739417DB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_Toc581127741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2</w:t>
          </w:r>
          <w:r>
            <w:rPr>
              <w:rFonts w:ascii="Songti SC Regular" w:hAnsi="Songti SC Regular" w:eastAsia="Songti SC Regular" w:cs="Songti SC Regular"/>
            </w:rPr>
            <w:t>）澳大利亚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澳大利亚放宽长寿风险产品资本规则以支持退休收入市场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_Toc581127741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5F573310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_Toc258316431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3</w:t>
          </w:r>
          <w:r>
            <w:rPr>
              <w:rFonts w:ascii="Songti SC Regular" w:hAnsi="Songti SC Regular" w:eastAsia="Songti SC Regular" w:cs="Songti SC Regular"/>
            </w:rPr>
            <w:t>）阿根廷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阿根廷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月上调养老金并续发一次性补贴</w:t>
          </w:r>
          <w:r>
            <w:tab/>
          </w:r>
          <w:r>
            <w:fldChar w:fldCharType="begin"/>
          </w:r>
          <w:r>
            <w:instrText xml:space="preserve"> PAGEREF _Toc258316431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2A2FF7E9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_Toc1459805230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）意大利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意大利更新养老金代扣贷款第二季度利率门槛</w:t>
          </w:r>
          <w:r>
            <w:tab/>
          </w:r>
          <w:r>
            <w:fldChar w:fldCharType="begin"/>
          </w:r>
          <w:r>
            <w:instrText xml:space="preserve"> PAGEREF _Toc1459805230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8F0D32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_Toc2093317282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5</w:t>
          </w:r>
          <w:r>
            <w:rPr>
              <w:rFonts w:ascii="Songti SC Regular" w:hAnsi="Songti SC Regular" w:eastAsia="Songti SC Regular" w:cs="Songti SC Regular"/>
            </w:rPr>
            <w:t>）日本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日本上调在职老龄年金减额门槛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_Toc2093317282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7CE3DB53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_Toc158969773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6</w:t>
          </w:r>
          <w:r>
            <w:rPr>
              <w:rFonts w:ascii="Songti SC Regular" w:hAnsi="Songti SC Regular" w:eastAsia="Songti SC Regular" w:cs="Songti SC Regular"/>
            </w:rPr>
            <w:t>）日本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日本</w:t>
          </w:r>
          <w:r>
            <w:t>2026</w:t>
          </w:r>
          <w:r>
            <w:rPr>
              <w:rFonts w:ascii="Songti SC Regular" w:hAnsi="Songti SC Regular" w:eastAsia="Songti SC Regular" w:cs="Songti SC Regular"/>
            </w:rPr>
            <w:t>年度国民年金与相关给付标准启动调整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_Toc158969773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B02EF08">
          <w:pPr>
            <w:pStyle w:val="10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_Toc335317943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二、养老金投资</w:t>
          </w:r>
          <w:r>
            <w:tab/>
          </w:r>
          <w:r>
            <w:fldChar w:fldCharType="begin"/>
          </w:r>
          <w:r>
            <w:instrText xml:space="preserve"> PAGEREF _Toc335317943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C84943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_Toc691578273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7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英国养老金资金承诺投向</w:t>
          </w:r>
          <w:r>
            <w:t>British Growth Partnership</w:t>
          </w:r>
          <w:r>
            <w:rPr>
              <w:rFonts w:ascii="Songti SC Regular" w:hAnsi="Songti SC Regular" w:eastAsia="Songti SC Regular" w:cs="Songti SC Regular"/>
            </w:rPr>
            <w:t>基金</w:t>
          </w:r>
          <w:r>
            <w:tab/>
          </w:r>
          <w:r>
            <w:fldChar w:fldCharType="begin"/>
          </w:r>
          <w:r>
            <w:instrText xml:space="preserve"> PAGEREF _Toc691578273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69AC0D90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_Toc1174536747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8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大曼彻斯特养老金基金与贝莱德发起医疗设施投资合作</w:t>
          </w:r>
          <w:r>
            <w:tab/>
          </w:r>
          <w:r>
            <w:fldChar w:fldCharType="begin"/>
          </w:r>
          <w:r>
            <w:instrText xml:space="preserve"> PAGEREF _Toc1174536747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547BDA54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_Toc769423605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9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标准人寿推出面向养老金默认账户的私募市场方案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_Toc769423605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1C8281AD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_Toc1703490648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10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人民养老金调整气候投资框架以强调现实风险管理</w:t>
          </w:r>
          <w:r>
            <w:tab/>
          </w:r>
          <w:r>
            <w:fldChar w:fldCharType="begin"/>
          </w:r>
          <w:r>
            <w:instrText xml:space="preserve"> PAGEREF _Toc1703490648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319368DC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_Toc315339132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11</w:t>
          </w:r>
          <w:r>
            <w:rPr>
              <w:rFonts w:ascii="Songti SC Regular" w:hAnsi="Songti SC Regular" w:eastAsia="Songti SC Regular" w:cs="Songti SC Regular"/>
            </w:rPr>
            <w:t>）巴西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巴西补充养老金</w:t>
          </w:r>
          <w:r>
            <w:t>2025</w:t>
          </w:r>
          <w:r>
            <w:rPr>
              <w:rFonts w:ascii="Songti SC Regular" w:hAnsi="Songti SC Regular" w:eastAsia="Songti SC Regular" w:cs="Songti SC Regular"/>
            </w:rPr>
            <w:t>年平均收益率升至</w:t>
          </w:r>
          <w:r>
            <w:t>13.23%</w:t>
          </w:r>
          <w:r>
            <w:tab/>
          </w:r>
          <w:r>
            <w:fldChar w:fldCharType="begin"/>
          </w:r>
          <w:r>
            <w:instrText xml:space="preserve"> PAGEREF _Toc315339132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A9678E7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_Toc2062634375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12</w:t>
          </w:r>
          <w:r>
            <w:rPr>
              <w:rFonts w:ascii="Songti SC Regular" w:hAnsi="Songti SC Regular" w:eastAsia="Songti SC Regular" w:cs="Songti SC Regular"/>
            </w:rPr>
            <w:t>）加拿大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阿尔伯塔省养老基金去年回报</w:t>
          </w:r>
          <w:r>
            <w:t>7.5%</w:t>
          </w:r>
          <w:r>
            <w:rPr>
              <w:rFonts w:ascii="Songti SC Regular" w:hAnsi="Songti SC Regular" w:eastAsia="Songti SC Regular" w:cs="Songti SC Regular"/>
            </w:rPr>
            <w:t>，股票成主要推手</w:t>
          </w:r>
          <w:r>
            <w:tab/>
          </w:r>
          <w:r>
            <w:fldChar w:fldCharType="begin"/>
          </w:r>
          <w:r>
            <w:instrText xml:space="preserve"> PAGEREF _Toc2062634375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7446724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_Toc2014910751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13</w:t>
          </w:r>
          <w:r>
            <w:rPr>
              <w:rFonts w:ascii="Songti SC Regular" w:hAnsi="Songti SC Regular" w:eastAsia="Songti SC Regular" w:cs="Songti SC Regular"/>
            </w:rPr>
            <w:t>）荷兰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荷兰养老基金</w:t>
          </w:r>
          <w:r>
            <w:t>2025</w:t>
          </w:r>
          <w:r>
            <w:rPr>
              <w:rFonts w:ascii="Songti SC Regular" w:hAnsi="Songti SC Regular" w:eastAsia="Songti SC Regular" w:cs="Songti SC Regular"/>
            </w:rPr>
            <w:t>年增配欧洲债券、减持美国资产</w:t>
          </w:r>
          <w:r>
            <w:tab/>
          </w:r>
          <w:r>
            <w:fldChar w:fldCharType="begin"/>
          </w:r>
          <w:r>
            <w:instrText xml:space="preserve"> PAGEREF _Toc2014910751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304F4CEB">
          <w:pPr>
            <w:outlineLvl w:val="9"/>
            <w:rPr>
              <w:rFonts w:ascii="Songti SC Regular" w:hAnsi="Songti SC Regular" w:eastAsia="Songti SC Regular" w:cs="Songti SC Regular"/>
              <w:strike w:val="0"/>
              <w:sz w:val="21"/>
              <w:szCs w:val="21"/>
              <w:u w:val="none"/>
              <w:vertAlign w:val="baseline"/>
              <w:lang w:val="zh-CN" w:eastAsia="zh-CN" w:bidi="zh-CN"/>
              <w14:ligatures w14:val="standardContextual"/>
            </w:rPr>
          </w:pP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</w:sdtContent>
    </w:sdt>
    <w:p>
      <w:pPr>
        <w:pStyle w:val="2"/>
      </w:pPr>
      <w:r>
        <w:rPr>
          <w:rFonts w:ascii="Songti SC Regular" w:hAnsi="Songti SC Regular" w:eastAsia="Songti SC Regular"/>
        </w:rPr>
        <w:t>债券发行周报（2026年4月13日—2026年4月19日）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3"/>
      </w:pPr>
      <w:r>
        <w:rPr>
          <w:rFonts w:ascii="Songti SC Regular" w:hAnsi="Songti SC Regular" w:eastAsia="Songti SC Regular"/>
        </w:rPr>
        <w:t>一、本周发行概览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本周（2026年4月13日—2026年4月19日），地方政府债券市场共发行30只债券，发行总规模为1,290.26亿元。发行地区涵盖山东、云南、陕西、广东、辽宁、青岛、河北共7个省（自治区）。</w:t>
      </w:r>
    </w:p>
    <w:p>
      <w:pPr>
        <w:pStyle w:val="3"/>
      </w:pPr>
      <w:r>
        <w:rPr>
          <w:rFonts w:ascii="Songti SC Regular" w:hAnsi="Songti SC Regular" w:eastAsia="Songti SC Regular"/>
        </w:rPr>
        <w:t>二、发行地区分布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山东：发行12只，规模418.81亿元，占比32.5%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云南：发行3只，规模300.00亿元，占比23.3%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陕西：发行2只，规模166.21亿元，占比12.9%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广东：发行2只，规模145.79亿元，占比11.3%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辽宁：发行3只，规模138.81亿元，占比10.8%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青岛：发行7只，规模60.6400亿元，占比4.7%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河北：发行1只，规模60.0000亿元，占比4.7%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从地区分布看，山东本周发债规模最大，达418.81亿元，占全部发行规模的32.5%；河北发行规模最小，为60.0000亿元。此外，云南（300.00亿元）、陕西（166.21亿元）、广东（145.79亿元）、辽宁（138.81亿元）、青岛（60.6400亿元）也有不同程度的发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地区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发行只数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发行规模（亿元）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占比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山东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12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418.81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32.5%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云南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300.00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23.3%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陕西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166.21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12.9%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广东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145.79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11.3%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辽宁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138.81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10.8%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青岛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7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60.6400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4.7%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河北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60.0000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4.7%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合计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30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1,290.26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100.0%</w:t>
            </w:r>
          </w:p>
        </w:tc>
      </w:tr>
    </w:tbl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3"/>
      </w:pPr>
      <w:r>
        <w:rPr>
          <w:rFonts w:ascii="Songti SC Regular" w:hAnsi="Songti SC Regular" w:eastAsia="Songti SC Regular"/>
        </w:rPr>
        <w:t>三、债券类型分布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新增专项债券：13只，428.28亿元，占比33.2%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再融资债券：15只，852.75亿元，占比66.1%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一般债券：2只，9.2300亿元，占比0.7%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再融资债券发行规模为852.75亿元，占比66.1%，为本周发行主力；新增专项债券发行428.28亿元，占比33.2%；一般债券发行9.2300亿元，占比0.7%。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b/>
          <w:sz w:val="21"/>
        </w:rPr>
        <w:t>细分类型：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再融资专项债券：12只，532.15亿元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再融资一般债券：3只，320.60亿元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新增专项债券：13只，428.28亿元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新增一般债券：2只，9.2300亿元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3"/>
      </w:pPr>
      <w:r>
        <w:rPr>
          <w:rFonts w:ascii="Songti SC Regular" w:hAnsi="Songti SC Regular" w:eastAsia="Songti SC Regular"/>
        </w:rPr>
        <w:t>四、发行利率评述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本周发行债券的票面利率区间为1.60%—2.48%，加权平均约2.10%。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b/>
          <w:sz w:val="21"/>
        </w:rPr>
        <w:t>分地区利率水平：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云南：1.73%—2.47%（均值2.05%）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山东：1.73%—2.45%（均值2.07%）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广东：1.60%—1.90%（均值1.75%）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河北：2.45%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辽宁：1.72%—2.42%（均值2.19%）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陕西：1.90%—1.93%（均值1.92%）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青岛：1.72%—2.48%（均值2.23%）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b/>
          <w:sz w:val="21"/>
        </w:rPr>
        <w:t>分类型利率水平：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一般债券：1.72%—1.91%（均值1.81%）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再融资债券：1.72%—2.47%（均值2.12%）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新增专项债券：1.60%—2.48%（均值2.11%）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从利率水平看，广东的平均发行利率最低（1.75%），河北的平均发行利率最高（2.45%）。期限方面，10年期及以下债券平均利率为1.85%，10年期以上债券平均利率为2.39%，长期限债券利率明显高于短期限品种，符合期限溢价规律。</w:t>
      </w:r>
    </w:p>
    <w:p>
      <w:pPr>
        <w:pStyle w:val="3"/>
      </w:pPr>
      <w:r>
        <w:rPr>
          <w:rFonts w:ascii="Songti SC Regular" w:hAnsi="Songti SC Regular" w:eastAsia="Songti SC Regular"/>
        </w:rPr>
        <w:t>五、本周发行债券明细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3"/>
        <w:gridCol w:w="1503"/>
        <w:gridCol w:w="1503"/>
        <w:gridCol w:w="1503"/>
        <w:gridCol w:w="1503"/>
        <w:gridCol w:w="1503"/>
      </w:tblGrid>
      <w:tr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债券名称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发行人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债券类型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期限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利率(%)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规模(亿元)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2026年河北省政府专项债券（十七期）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河北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2.45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60.0000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2026年山东省政府专项债券（十八期）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1.73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12.3800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2026年山东省政府专项债券（十九期）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2.45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99.8100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2026年山东省政府专项债券（二十期）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2.24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54.3500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2026年山东省政府专项债券（二十一期）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1.92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8.0600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2026年山东省政府专项债券（二十二期）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4.4500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2026年山东省政府专项债券（二十三期）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2.25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11.5600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2026年山东省政府一般债券（一期）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7.2300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2026年山东省地方政府再融资一般债券（三期）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124.26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2026年山东省地方政府再融资专项债券（十五期）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18.4100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2026年山东省地方政府再融资专项债券（十六期）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9.8500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2026年山东省地方政府再融资专项债券（十七期）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2.24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35.3900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2026年山东省地方政府再融资专项债券（十八期）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山东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2.45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33.0600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2026年云南省地方政府再融资专项债券（三期）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云南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1.73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100.00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2026年云南省地方政府再融资专项债券（四期）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云南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1.94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100.00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2026年云南省地方政府再融资专项债券（五期）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云南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2.47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100.00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2026年广东省政府专项债券（二十二期）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广东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1.60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114.80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2026年广东省政府专项债券（二十三期）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广东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30.9936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2026年青岛市政府一般债券（三期）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1.72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2.0000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2026年青岛市政府再融资专项债券（九期）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6.5500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2026年青岛市政府再融资专项债券（十期）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2.47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20.2100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2026年青岛市政府专项债券（十七期）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1.0000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2026年青岛市政府专项债券（十八期）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2.23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2.6000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2026年青岛市政府专项债券（十九期）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22.6000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2026年青岛市政府专项债券（二十期）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青岛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2.48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5.6800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2026年辽宁省地方政府再融资一般债券（四期）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辽宁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1.72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47.1400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2026年辽宁省地方政府再融资专项债券（四期）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辽宁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2.42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45.9700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2026年辽宁省地方政府再融资专项债券（五期）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辽宁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2.42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45.7000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2026年陕西省地方政府再融资一般债券（二期）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陕西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149.20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2026年陕西省地方政府再融资专项债券（四期）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陕西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1.93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17.0108</w:t>
            </w:r>
          </w:p>
        </w:tc>
      </w:tr>
    </w:tbl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18"/>
        </w:rPr>
        <w:t>数据来源：中央国债登记结算有限责任公司，地方政府债券信息披露门户（chinabond.com.cn），2026年4月13日—2026年4月19日</w:t>
      </w:r>
    </w:p>
    <w:sectPr>
      <w:footerReference r:id="rId5" w:type="default"/>
      <w:footnotePr>
        <w:numFmt w:val="decimal"/>
        <w:numRestart w:val="eachSect"/>
      </w:footnotePr>
      <w:endnotePr>
        <w:numFmt w:val="decimal"/>
        <w:numRestart w:val="eachSect"/>
      </w:endnotePr>
      <w:pgSz w:w="11900" w:h="16840"/>
      <w:pgMar w:top="1440" w:right="1440" w:bottom="1440" w:left="1440" w:header="0" w:footer="11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8BBE3">
    <w:pPr>
      <w:jc w:val="center"/>
    </w:pPr>
    <w:r>
      <w:fldChar w:fldCharType="begin"/>
    </w:r>
    <w:r>
      <w:instrText xml:space="preserve"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autoHyphenation/>
  <w:footnotePr>
    <w:numRestart w:val="eachSect"/>
    <w:footnote w:id="0"/>
    <w:footnote w:id="1"/>
  </w:footnotePr>
  <w:endnotePr>
    <w:numFmt w:val="decimal"/>
    <w:numRestart w:val="eachSect"/>
    <w:endnote w:id="0"/>
    <w:endnote w:id="1"/>
  </w:endnotePr>
  <w:compat>
    <w:useFELayout/>
    <w:compatSetting w:name="compatibilityMode" w:uri="http://schemas.microsoft.com/office/word" w:val="15"/>
    <w:compatSetting w:name="enableOpenTypeFeatures" w:uri="http://schemas.microsoft.com/office/word" w:val="1"/>
  </w:compat>
  <w:rsids>
    <w:rsidRoot w:val="00000000"/>
    <w:rsid w:val="FFCBA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1" w:name="heading 5"/>
    <w:lsdException w:qFormat="1" w:uiPriority="1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" w:semiHidden="0" w:name="Strong"/>
    <w:lsdException w:qFormat="1" w:unhideWhenUsed="0" w:uiPriority="2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420" w:lineRule="atLeast"/>
      <w:jc w:val="both"/>
    </w:pPr>
    <w:rPr>
      <w:rFonts w:ascii="Times New Roman" w:hAnsi="Times New Roman" w:eastAsia="Times New Roman" w:cs="Times New Roman"/>
      <w:sz w:val="21"/>
      <w:szCs w:val="21"/>
      <w:u w:val="none"/>
      <w:vertAlign w:val="baseline"/>
      <w:lang w:val="zh-CN" w:eastAsia="zh-CN" w:bidi="zh-CN"/>
      <w14:ligatures w14:val="standardContextual"/>
    </w:rPr>
  </w:style>
  <w:style w:type="paragraph" w:styleId="2">
    <w:name w:val="heading 1"/>
    <w:basedOn w:val="1"/>
    <w:qFormat/>
    <w:uiPriority w:val="1"/>
    <w:pPr>
      <w:spacing w:line="720" w:lineRule="atLeast"/>
      <w:jc w:val="center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3">
    <w:name w:val="heading 2"/>
    <w:basedOn w:val="1"/>
    <w:qFormat/>
    <w:uiPriority w:val="1"/>
    <w:pPr>
      <w:spacing w:line="600" w:lineRule="atLeast"/>
      <w:jc w:val="left"/>
    </w:pPr>
    <w:rPr>
      <w:rFonts w:ascii="Times New Roman" w:hAnsi="Times New Roman" w:eastAsia="Times New Roman" w:cs="Times New Roman"/>
      <w:b/>
      <w:sz w:val="30"/>
      <w:szCs w:val="30"/>
    </w:rPr>
  </w:style>
  <w:style w:type="paragraph" w:styleId="4">
    <w:name w:val="heading 3"/>
    <w:basedOn w:val="1"/>
    <w:qFormat/>
    <w:uiPriority w:val="1"/>
    <w:pPr>
      <w:spacing w:line="560" w:lineRule="atLeast"/>
      <w:jc w:val="left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5">
    <w:name w:val="heading 4"/>
    <w:basedOn w:val="1"/>
    <w:qFormat/>
    <w:uiPriority w:val="1"/>
    <w:pPr>
      <w:spacing w:line="480" w:lineRule="atLeast"/>
      <w:ind w:firstLine="431"/>
      <w:jc w:val="left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6">
    <w:name w:val="heading 5"/>
    <w:basedOn w:val="1"/>
    <w:semiHidden/>
    <w:unhideWhenUsed/>
    <w:qFormat/>
    <w:uiPriority w:val="1"/>
    <w:pPr>
      <w:ind w:firstLine="431"/>
      <w:jc w:val="left"/>
    </w:pPr>
    <w:rPr>
      <w:rFonts w:ascii="Times New Roman" w:hAnsi="Times New Roman" w:eastAsia="Times New Roman" w:cs="Times New Roman"/>
      <w:b/>
      <w:i/>
    </w:rPr>
  </w:style>
  <w:style w:type="paragraph" w:styleId="7">
    <w:name w:val="heading 6"/>
    <w:basedOn w:val="1"/>
    <w:semiHidden/>
    <w:unhideWhenUsed/>
    <w:qFormat/>
    <w:uiPriority w:val="1"/>
    <w:pPr>
      <w:ind w:firstLine="431"/>
      <w:jc w:val="left"/>
    </w:pPr>
    <w:rPr>
      <w:rFonts w:ascii="Times New Roman" w:hAnsi="Times New Roman" w:eastAsia="Times New Roman" w:cs="Times New Roman"/>
      <w:i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Strong"/>
    <w:qFormat/>
    <w:uiPriority w:val="2"/>
    <w:rPr>
      <w:rFonts w:ascii="Times New Roman" w:hAnsi="Times New Roman" w:eastAsia="Times New Roman" w:cs="Times New Roman"/>
      <w:b/>
    </w:rPr>
  </w:style>
  <w:style w:type="character" w:styleId="14">
    <w:name w:val="Emphasis"/>
    <w:qFormat/>
    <w:uiPriority w:val="2"/>
    <w:rPr>
      <w:rFonts w:ascii="Times New Roman" w:hAnsi="Times New Roman" w:eastAsia="Times New Roman" w:cs="Times New Roman"/>
      <w:i/>
    </w:rPr>
  </w:style>
  <w:style w:type="paragraph" w:customStyle="1" w:styleId="15">
    <w:name w:val="分隔"/>
    <w:basedOn w:val="1"/>
    <w:semiHidden/>
    <w:unhideWhenUsed/>
    <w:qFormat/>
    <w:uiPriority w:val="1"/>
  </w:style>
  <w:style w:type="paragraph" w:customStyle="1" w:styleId="16">
    <w:name w:val="带虚线的列表"/>
    <w:basedOn w:val="1"/>
    <w:qFormat/>
    <w:uiPriority w:val="1"/>
  </w:style>
  <w:style w:type="paragraph" w:customStyle="1" w:styleId="17">
    <w:name w:val="Codeblock"/>
    <w:basedOn w:val="1"/>
    <w:semiHidden/>
    <w:unhideWhenUsed/>
    <w:qFormat/>
    <w:uiPriority w:val="1"/>
    <w:pPr>
      <w:spacing w:line="400" w:lineRule="atLeast"/>
    </w:pPr>
    <w:rPr>
      <w:rFonts w:ascii="Courier New" w:hAnsi="Courier New" w:eastAsia="Courier New" w:cs="Courier New"/>
      <w:color w:val="000000"/>
      <w:sz w:val="20"/>
      <w:szCs w:val="20"/>
    </w:rPr>
  </w:style>
  <w:style w:type="paragraph" w:customStyle="1" w:styleId="18">
    <w:name w:val="原始源块"/>
    <w:basedOn w:val="1"/>
    <w:semiHidden/>
    <w:unhideWhenUsed/>
    <w:qFormat/>
    <w:uiPriority w:val="1"/>
  </w:style>
  <w:style w:type="paragraph" w:customStyle="1" w:styleId="19">
    <w:name w:val="Paragraph"/>
    <w:basedOn w:val="1"/>
    <w:qFormat/>
    <w:uiPriority w:val="1"/>
    <w:pPr>
      <w:ind w:firstLine="431"/>
    </w:pPr>
  </w:style>
  <w:style w:type="paragraph" w:customStyle="1" w:styleId="20">
    <w:name w:val="Blockquote"/>
    <w:basedOn w:val="1"/>
    <w:semiHidden/>
    <w:unhideWhenUsed/>
    <w:qFormat/>
    <w:uiPriority w:val="1"/>
    <w:rPr>
      <w:rFonts w:ascii="Times New Roman" w:hAnsi="Times New Roman" w:eastAsia="Times New Roman" w:cs="Times New Roman"/>
      <w:i/>
    </w:rPr>
  </w:style>
  <w:style w:type="paragraph" w:customStyle="1" w:styleId="21">
    <w:name w:val="注释块"/>
    <w:basedOn w:val="1"/>
    <w:semiHidden/>
    <w:unhideWhenUsed/>
    <w:qFormat/>
    <w:uiPriority w:val="1"/>
  </w:style>
  <w:style w:type="paragraph" w:customStyle="1" w:styleId="22">
    <w:name w:val="带数字的列表"/>
    <w:basedOn w:val="1"/>
    <w:qFormat/>
    <w:uiPriority w:val="1"/>
  </w:style>
  <w:style w:type="paragraph" w:customStyle="1" w:styleId="23">
    <w:name w:val="字幕"/>
    <w:basedOn w:val="1"/>
    <w:semiHidden/>
    <w:unhideWhenUsed/>
    <w:qFormat/>
    <w:uiPriority w:val="1"/>
    <w:pPr>
      <w:spacing w:line="360" w:lineRule="atLeast"/>
      <w:jc w:val="center"/>
    </w:pPr>
    <w:rPr>
      <w:sz w:val="18"/>
      <w:szCs w:val="18"/>
    </w:rPr>
  </w:style>
  <w:style w:type="character" w:customStyle="1" w:styleId="24">
    <w:name w:val="标签"/>
    <w:semiHidden/>
    <w:unhideWhenUsed/>
    <w:qFormat/>
    <w:uiPriority w:val="2"/>
  </w:style>
  <w:style w:type="character" w:customStyle="1" w:styleId="25">
    <w:name w:val="Mark"/>
    <w:semiHidden/>
    <w:unhideWhenUsed/>
    <w:qFormat/>
    <w:uiPriority w:val="2"/>
  </w:style>
  <w:style w:type="character" w:customStyle="1" w:styleId="26">
    <w:name w:val="注释"/>
    <w:semiHidden/>
    <w:unhideWhenUsed/>
    <w:qFormat/>
    <w:uiPriority w:val="2"/>
  </w:style>
  <w:style w:type="character" w:customStyle="1" w:styleId="27">
    <w:name w:val="Link"/>
    <w:qFormat/>
    <w:uiPriority w:val="2"/>
    <w:rPr>
      <w:color w:val="3875D7"/>
      <w:u w:val="single" w:color="3875D7"/>
    </w:rPr>
  </w:style>
  <w:style w:type="character" w:customStyle="1" w:styleId="28">
    <w:name w:val="修正"/>
    <w:semiHidden/>
    <w:unhideWhenUsed/>
    <w:qFormat/>
    <w:uiPriority w:val="2"/>
  </w:style>
  <w:style w:type="character" w:customStyle="1" w:styleId="29">
    <w:name w:val="Inline Code"/>
    <w:semiHidden/>
    <w:unhideWhenUsed/>
    <w:qFormat/>
    <w:uiPriority w:val="2"/>
    <w:rPr>
      <w:rFonts w:ascii="Courier New" w:hAnsi="Courier New" w:eastAsia="Courier New" w:cs="Courier New"/>
    </w:rPr>
  </w:style>
  <w:style w:type="character" w:customStyle="1" w:styleId="30">
    <w:name w:val="批注"/>
    <w:semiHidden/>
    <w:unhideWhenUsed/>
    <w:qFormat/>
    <w:uiPriority w:val="2"/>
  </w:style>
  <w:style w:type="character" w:customStyle="1" w:styleId="31">
    <w:name w:val="原始源"/>
    <w:semiHidden/>
    <w:unhideWhenUsed/>
    <w:qFormat/>
    <w:uiPriority w:val="2"/>
  </w:style>
  <w:style w:type="character" w:customStyle="1" w:styleId="32">
    <w:name w:val="Inline Cite"/>
    <w:semiHidden/>
    <w:unhideWhenUsed/>
    <w:qFormat/>
    <w:uiPriority w:val="2"/>
    <w:rPr>
      <w:rFonts w:ascii="Times New Roman" w:hAnsi="Times New Roman" w:eastAsia="Times New Roman" w:cs="Times New Roman"/>
      <w:i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2026-04-05T01:12:39Z</dcterms:created>
  <dc:creator>Data</dc:creator>
  <cp:lastModifiedBy>Z-Yingbo</cp:lastModifiedBy>
  <dcterms:modified xsi:type="dcterms:W3CDTF">2026-04-05T01:13:10Z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0C63FCCE50EDD19CA646D16960D67455_42</vt:lpwstr>
  </property>
</Properties>
</file>