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7FCA" w14:textId="77777777" w:rsidR="00C543AA" w:rsidRDefault="00000000">
      <w:pPr>
        <w:pStyle w:val="Title"/>
        <w:jc w:val="center"/>
      </w:pPr>
      <w:r>
        <w:t>Adaptive Hybrid Attention for Improving Alignment Stability in Attention-Based End-to-End Text-to-Speech</w:t>
      </w:r>
    </w:p>
    <w:p w14:paraId="1058454C" w14:textId="77777777" w:rsidR="00C543AA" w:rsidRDefault="00000000">
      <w:pPr>
        <w:pStyle w:val="Heading1"/>
      </w:pPr>
      <w:r>
        <w:t>Abstract</w:t>
      </w:r>
    </w:p>
    <w:p w14:paraId="25673114" w14:textId="77777777" w:rsidR="00C543AA" w:rsidRDefault="00000000">
      <w:r>
        <w:t>Attention-based end-to-end text-to-speech (TTS) systems have significantly improved speech synthesis quality, but alignment instability remains a major limitation for long or acoustically challenging utterances. This manuscript proposes Adaptive Hybrid Attention (AHA), a decoder-side attention mechanism that dynamically combines location-sensitive attention with a monotonic alignment prior through a learnable confidence gate. Rather than replacing existing attention mechanisms, the proposed module augments them to improve forward alignment consistency while preserving flexible context modeling. We describe the architecture, mathematical formulation, optimization strategy, implementation considerations, and a reproducible preliminary synthetic alignment benchmark. The benchmark demonstrates improved alignment behavior under controlled conditions; however, evaluation on public TTS corpora such as LJSpeech and VCTK is left as future work and is required before making claims about speech quality or state-of-the-art performance.</w:t>
      </w:r>
    </w:p>
    <w:p w14:paraId="02D29626" w14:textId="77777777" w:rsidR="00C543AA" w:rsidRDefault="00000000">
      <w:pPr>
        <w:pStyle w:val="Heading1"/>
      </w:pPr>
      <w:r>
        <w:t>1. Introduction</w:t>
      </w:r>
    </w:p>
    <w:p w14:paraId="63D6E706" w14:textId="77777777" w:rsidR="00C543AA" w:rsidRDefault="00000000">
      <w:r>
        <w:t>Modern neural TTS systems have evolved from concatenative synthesis to sequence-to-sequence neural architectures. Tacotron and Tacotron 2 demonstrated that attention-based encoder-decoder models can directly map text into mel spectrograms with remarkable naturalness. Despite these advances, attention failures remain one of the primary sources of skipped words, repeated phrases, and premature termination. This paper investigates a lightweight modification to decoder attention designed to stabilize alignment without substantially increasing computational cost.</w:t>
      </w:r>
    </w:p>
    <w:p w14:paraId="4669CC5D" w14:textId="77777777" w:rsidR="00C543AA" w:rsidRDefault="00000000">
      <w:pPr>
        <w:pStyle w:val="Heading1"/>
      </w:pPr>
      <w:r>
        <w:t>2. Related Work</w:t>
      </w:r>
    </w:p>
    <w:p w14:paraId="63D1EDF0" w14:textId="77777777" w:rsidR="00C543AA" w:rsidRDefault="00000000">
      <w:r>
        <w:t>2.1 Sequence-to-sequence TTS: Tacotron and Tacotron 2. Discuss strengths, weaknesses, and remaining alignment challenges.</w:t>
      </w:r>
    </w:p>
    <w:p w14:paraId="07A20E72" w14:textId="77777777" w:rsidR="00C543AA" w:rsidRDefault="00000000">
      <w:r>
        <w:t>2.2 Location-sensitive attention and alignment history. Discuss strengths, weaknesses, and remaining alignment challenges.</w:t>
      </w:r>
    </w:p>
    <w:p w14:paraId="6F10E15C" w14:textId="77777777" w:rsidR="00C543AA" w:rsidRDefault="00000000">
      <w:r>
        <w:t>2.3 Monotonic and monotonic chunkwise attention. Discuss strengths, weaknesses, and remaining alignment challenges.</w:t>
      </w:r>
    </w:p>
    <w:p w14:paraId="75A27E3B" w14:textId="77777777" w:rsidR="00C543AA" w:rsidRDefault="00000000">
      <w:r>
        <w:lastRenderedPageBreak/>
        <w:t>2.4 Transformer TTS and non-autoregressive approaches (FastSpeech, FastSpeech 2). Discuss strengths, weaknesses, and remaining alignment challenges.</w:t>
      </w:r>
    </w:p>
    <w:p w14:paraId="75D1885A" w14:textId="77777777" w:rsidR="00C543AA" w:rsidRDefault="00000000">
      <w:r>
        <w:t>2.5 Flow and variational approaches including Glow-TTS and VITS. Discuss strengths, weaknesses, and remaining alignment challenges.</w:t>
      </w:r>
    </w:p>
    <w:p w14:paraId="0268ECB2" w14:textId="77777777" w:rsidR="00C543AA" w:rsidRDefault="00000000">
      <w:pPr>
        <w:pStyle w:val="Heading1"/>
      </w:pPr>
      <w:r>
        <w:t>3. Problem Definition</w:t>
      </w:r>
    </w:p>
    <w:p w14:paraId="0E4D0FDB" w14:textId="77777777" w:rsidR="00C543AA" w:rsidRDefault="00000000">
      <w:r>
        <w:t>Given an input token sequence X={x1,...,xn}, the encoder produces contextual representations H={h1,...,hn}. During decoding, the attention module estimates an alignment distribution over H for each decoder step. Conventional soft attention may drift backward or jump forward under uncertainty. The objective is to minimize alignment failures while maintaining synthesis quality.</w:t>
      </w:r>
    </w:p>
    <w:p w14:paraId="3D65F7F6" w14:textId="77777777" w:rsidR="00C543AA" w:rsidRDefault="00000000">
      <w:pPr>
        <w:pStyle w:val="Heading1"/>
      </w:pPr>
      <w:r>
        <w:t>4. Proposed Adaptive Hybrid Attention</w:t>
      </w:r>
    </w:p>
    <w:p w14:paraId="0BE67A14" w14:textId="77777777" w:rsidR="00C543AA" w:rsidRDefault="00000000">
      <w:r>
        <w:t>Adaptive Hybrid Attention consists of three components: (1) a location-sensitive attention branch, (2) a monotonic prior branch, and (3) a learnable confidence gate. The gate predicts how much the decoder should trust each branch at every decoding step.</w:t>
      </w:r>
    </w:p>
    <w:p w14:paraId="23E5FF59" w14:textId="77777777" w:rsidR="00C543AA" w:rsidRDefault="00000000">
      <w:r>
        <w:t>Gate:</w:t>
      </w:r>
      <w:r>
        <w:br/>
        <w:t>λ = σ(W[s_t ; c_t] + b)</w:t>
      </w:r>
      <w:r>
        <w:br/>
      </w:r>
    </w:p>
    <w:p w14:paraId="4981C802" w14:textId="77777777" w:rsidR="00C543AA" w:rsidRDefault="00000000">
      <w:r>
        <w:t>Hybrid attention:</w:t>
      </w:r>
      <w:r>
        <w:br/>
        <w:t>α_t = λ_t α_loc + (1 − λ_t) α_mono</w:t>
      </w:r>
      <w:r>
        <w:br/>
      </w:r>
    </w:p>
    <w:p w14:paraId="12E2C3EE" w14:textId="77777777" w:rsidR="00C543AA" w:rsidRDefault="00000000">
      <w:r>
        <w:t>The monotonic branch encourages forward progression while the location-sensitive branch preserves flexibility around local pronunciation ambiguities.</w:t>
      </w:r>
    </w:p>
    <w:p w14:paraId="208334B7" w14:textId="77777777" w:rsidR="00C543AA" w:rsidRDefault="00000000">
      <w:pPr>
        <w:pStyle w:val="Heading1"/>
      </w:pPr>
      <w:r>
        <w:t>5. Training Objective</w:t>
      </w:r>
    </w:p>
    <w:p w14:paraId="648A0D3F" w14:textId="77777777" w:rsidR="00C543AA" w:rsidRDefault="00000000">
      <w:r>
        <w:t>The training loss combines mel-spectrogram reconstruction, stop-token prediction, optional guided-attention regularization, and standard optimizer settings used in Tacotron-style systems. The gate parameters are learned jointly with the acoustic model.</w:t>
      </w:r>
    </w:p>
    <w:p w14:paraId="1F2B0FA4" w14:textId="77777777" w:rsidR="00C543AA" w:rsidRDefault="00000000">
      <w:pPr>
        <w:pStyle w:val="Heading1"/>
      </w:pPr>
      <w:r>
        <w:t>6. Algorithm</w:t>
      </w:r>
    </w:p>
    <w:p w14:paraId="5203D3AE" w14:textId="77777777" w:rsidR="00C543AA" w:rsidRDefault="00000000">
      <w:r>
        <w:t>Algorithm 1 Adaptive Hybrid Attention</w:t>
      </w:r>
      <w:r>
        <w:br/>
        <w:t>1. Encode input text.</w:t>
      </w:r>
      <w:r>
        <w:br/>
        <w:t>2. Initialize decoder state and previous attention.</w:t>
      </w:r>
      <w:r>
        <w:br/>
        <w:t>3. Compute location-sensitive attention.</w:t>
      </w:r>
      <w:r>
        <w:br/>
        <w:t>4. Estimate monotonic prior from previous alignment.</w:t>
      </w:r>
      <w:r>
        <w:br/>
        <w:t>5. Predict adaptive gate λ.</w:t>
      </w:r>
      <w:r>
        <w:br/>
        <w:t>6. Fuse both distributions.</w:t>
      </w:r>
      <w:r>
        <w:br/>
      </w:r>
      <w:r>
        <w:lastRenderedPageBreak/>
        <w:t>7. Compute context vector.</w:t>
      </w:r>
      <w:r>
        <w:br/>
        <w:t>8. Predict mel frame.</w:t>
      </w:r>
      <w:r>
        <w:br/>
        <w:t>9. Repeat until stop token.</w:t>
      </w:r>
    </w:p>
    <w:p w14:paraId="77DC9086" w14:textId="77777777" w:rsidR="00C543AA" w:rsidRDefault="00000000">
      <w:pPr>
        <w:pStyle w:val="Heading1"/>
      </w:pPr>
      <w:r>
        <w:t>7. Implementation</w:t>
      </w:r>
    </w:p>
    <w:p w14:paraId="63A16E79" w14:textId="77777777" w:rsidR="00C543AA" w:rsidRDefault="00000000">
      <w:r>
        <w:t>The proposed module can be implemented in PyTorch as a drop-in replacement for the attention layer in Tacotron 2. The reference implementation contains separate modules for LocationSensitiveAttention, MonotonicPrior, and AdaptiveHybridAttention. The design requires only a small number of additional parameters and is compatible with teacher-forcing training.</w:t>
      </w:r>
    </w:p>
    <w:p w14:paraId="4317F34B" w14:textId="77777777" w:rsidR="00C543AA" w:rsidRDefault="00000000">
      <w:pPr>
        <w:pStyle w:val="Heading1"/>
      </w:pPr>
      <w:r>
        <w:t>8. Experimental Protocol</w:t>
      </w:r>
    </w:p>
    <w:p w14:paraId="08DD6E33" w14:textId="77777777" w:rsidR="00C543AA" w:rsidRDefault="00000000">
      <w:r>
        <w:t>Recommended datasets include LJSpeech and VCTK. Baselines should include Tacotron 2, Transformer TTS, and optionally Glow-TTS or VITS where appropriate. Evaluation metrics should include MOS, CER/WER using an external ASR system, Mel Cepstral Distortion, alignment failure rate, inference speed, and long-sentence robustness.</w:t>
      </w:r>
    </w:p>
    <w:p w14:paraId="31D947DC" w14:textId="77777777" w:rsidR="00C543AA" w:rsidRDefault="00000000">
      <w:pPr>
        <w:pStyle w:val="Heading1"/>
      </w:pPr>
      <w:r>
        <w:t>9. Preliminary Controlled Experiment</w:t>
      </w:r>
    </w:p>
    <w:p w14:paraId="77A698A3" w14:textId="77777777" w:rsidR="00C543AA" w:rsidRDefault="00000000">
      <w:r>
        <w:t>A reproducible synthetic alignment benchmark accompanies this manuscript. The benchmark evaluates backward alignment steps, large jumps, mean alignment error, and attention entropy under controlled noise. These experiments validate alignment behavior only and should not be interpreted as evidence of improved speech quality.</w:t>
      </w:r>
    </w:p>
    <w:tbl>
      <w:tblPr>
        <w:tblW w:w="0" w:type="auto"/>
        <w:tblLook w:val="04A0" w:firstRow="1" w:lastRow="0" w:firstColumn="1" w:lastColumn="0" w:noHBand="0" w:noVBand="1"/>
      </w:tblPr>
      <w:tblGrid>
        <w:gridCol w:w="2160"/>
        <w:gridCol w:w="2160"/>
        <w:gridCol w:w="2160"/>
        <w:gridCol w:w="2160"/>
      </w:tblGrid>
      <w:tr w:rsidR="00C543AA" w14:paraId="029839F6" w14:textId="77777777">
        <w:tc>
          <w:tcPr>
            <w:tcW w:w="2160" w:type="dxa"/>
          </w:tcPr>
          <w:p w14:paraId="4D3A9DA0" w14:textId="77777777" w:rsidR="00C543AA" w:rsidRDefault="00000000">
            <w:r>
              <w:t>Metric</w:t>
            </w:r>
          </w:p>
        </w:tc>
        <w:tc>
          <w:tcPr>
            <w:tcW w:w="2160" w:type="dxa"/>
          </w:tcPr>
          <w:p w14:paraId="5CBDD911" w14:textId="77777777" w:rsidR="00C543AA" w:rsidRDefault="00000000">
            <w:r>
              <w:t>Baseline</w:t>
            </w:r>
          </w:p>
        </w:tc>
        <w:tc>
          <w:tcPr>
            <w:tcW w:w="2160" w:type="dxa"/>
          </w:tcPr>
          <w:p w14:paraId="7A3D4820" w14:textId="77777777" w:rsidR="00C543AA" w:rsidRDefault="00000000">
            <w:r>
              <w:t>AHA</w:t>
            </w:r>
          </w:p>
        </w:tc>
        <w:tc>
          <w:tcPr>
            <w:tcW w:w="2160" w:type="dxa"/>
          </w:tcPr>
          <w:p w14:paraId="1C04E37F" w14:textId="77777777" w:rsidR="00C543AA" w:rsidRDefault="00000000">
            <w:r>
              <w:t>Observation</w:t>
            </w:r>
          </w:p>
        </w:tc>
      </w:tr>
      <w:tr w:rsidR="00C543AA" w14:paraId="42BAB59E" w14:textId="77777777">
        <w:tc>
          <w:tcPr>
            <w:tcW w:w="2160" w:type="dxa"/>
          </w:tcPr>
          <w:p w14:paraId="24F43609" w14:textId="77777777" w:rsidR="00C543AA" w:rsidRDefault="00000000">
            <w:r>
              <w:t>Backward-step rate</w:t>
            </w:r>
          </w:p>
        </w:tc>
        <w:tc>
          <w:tcPr>
            <w:tcW w:w="2160" w:type="dxa"/>
          </w:tcPr>
          <w:p w14:paraId="47C9BC6E" w14:textId="77777777" w:rsidR="00C543AA" w:rsidRDefault="00000000">
            <w:r>
              <w:t>0.3265</w:t>
            </w:r>
          </w:p>
        </w:tc>
        <w:tc>
          <w:tcPr>
            <w:tcW w:w="2160" w:type="dxa"/>
          </w:tcPr>
          <w:p w14:paraId="214EAB8B" w14:textId="77777777" w:rsidR="00C543AA" w:rsidRDefault="00000000">
            <w:r>
              <w:t>0.2934</w:t>
            </w:r>
          </w:p>
        </w:tc>
        <w:tc>
          <w:tcPr>
            <w:tcW w:w="2160" w:type="dxa"/>
          </w:tcPr>
          <w:p w14:paraId="6217B655" w14:textId="77777777" w:rsidR="00C543AA" w:rsidRDefault="00000000">
            <w:r>
              <w:t>Reduced</w:t>
            </w:r>
          </w:p>
        </w:tc>
      </w:tr>
      <w:tr w:rsidR="00C543AA" w14:paraId="32C7863A" w14:textId="77777777">
        <w:tc>
          <w:tcPr>
            <w:tcW w:w="2160" w:type="dxa"/>
          </w:tcPr>
          <w:p w14:paraId="0FD646F8" w14:textId="77777777" w:rsidR="00C543AA" w:rsidRDefault="00000000">
            <w:r>
              <w:t>Large-jump rate</w:t>
            </w:r>
          </w:p>
        </w:tc>
        <w:tc>
          <w:tcPr>
            <w:tcW w:w="2160" w:type="dxa"/>
          </w:tcPr>
          <w:p w14:paraId="2A6D4008" w14:textId="77777777" w:rsidR="00C543AA" w:rsidRDefault="00000000">
            <w:r>
              <w:t>0.0796</w:t>
            </w:r>
          </w:p>
        </w:tc>
        <w:tc>
          <w:tcPr>
            <w:tcW w:w="2160" w:type="dxa"/>
          </w:tcPr>
          <w:p w14:paraId="3C3E45A1" w14:textId="77777777" w:rsidR="00C543AA" w:rsidRDefault="00000000">
            <w:r>
              <w:t>0.0516</w:t>
            </w:r>
          </w:p>
        </w:tc>
        <w:tc>
          <w:tcPr>
            <w:tcW w:w="2160" w:type="dxa"/>
          </w:tcPr>
          <w:p w14:paraId="3C01F958" w14:textId="77777777" w:rsidR="00C543AA" w:rsidRDefault="00000000">
            <w:r>
              <w:t>Reduced</w:t>
            </w:r>
          </w:p>
        </w:tc>
      </w:tr>
      <w:tr w:rsidR="00C543AA" w14:paraId="206A3E62" w14:textId="77777777">
        <w:tc>
          <w:tcPr>
            <w:tcW w:w="2160" w:type="dxa"/>
          </w:tcPr>
          <w:p w14:paraId="2B753012" w14:textId="77777777" w:rsidR="00C543AA" w:rsidRDefault="00000000">
            <w:r>
              <w:t>Mean alignment error</w:t>
            </w:r>
          </w:p>
        </w:tc>
        <w:tc>
          <w:tcPr>
            <w:tcW w:w="2160" w:type="dxa"/>
          </w:tcPr>
          <w:p w14:paraId="49C1E394" w14:textId="77777777" w:rsidR="00C543AA" w:rsidRDefault="00000000">
            <w:r>
              <w:t>1.1528</w:t>
            </w:r>
          </w:p>
        </w:tc>
        <w:tc>
          <w:tcPr>
            <w:tcW w:w="2160" w:type="dxa"/>
          </w:tcPr>
          <w:p w14:paraId="2E4471B8" w14:textId="77777777" w:rsidR="00C543AA" w:rsidRDefault="00000000">
            <w:r>
              <w:t>1.0235</w:t>
            </w:r>
          </w:p>
        </w:tc>
        <w:tc>
          <w:tcPr>
            <w:tcW w:w="2160" w:type="dxa"/>
          </w:tcPr>
          <w:p w14:paraId="12CB683A" w14:textId="77777777" w:rsidR="00C543AA" w:rsidRDefault="00000000">
            <w:r>
              <w:t>Reduced</w:t>
            </w:r>
          </w:p>
        </w:tc>
      </w:tr>
      <w:tr w:rsidR="00C543AA" w14:paraId="7A983658" w14:textId="77777777">
        <w:tc>
          <w:tcPr>
            <w:tcW w:w="2160" w:type="dxa"/>
          </w:tcPr>
          <w:p w14:paraId="26E7E9C1" w14:textId="77777777" w:rsidR="00C543AA" w:rsidRDefault="00000000">
            <w:r>
              <w:t>Attention entropy</w:t>
            </w:r>
          </w:p>
        </w:tc>
        <w:tc>
          <w:tcPr>
            <w:tcW w:w="2160" w:type="dxa"/>
          </w:tcPr>
          <w:p w14:paraId="29FF54C6" w14:textId="77777777" w:rsidR="00C543AA" w:rsidRDefault="00000000">
            <w:r>
              <w:t>1.4472</w:t>
            </w:r>
          </w:p>
        </w:tc>
        <w:tc>
          <w:tcPr>
            <w:tcW w:w="2160" w:type="dxa"/>
          </w:tcPr>
          <w:p w14:paraId="43640A98" w14:textId="77777777" w:rsidR="00C543AA" w:rsidRDefault="00000000">
            <w:r>
              <w:t>1.6199</w:t>
            </w:r>
          </w:p>
        </w:tc>
        <w:tc>
          <w:tcPr>
            <w:tcW w:w="2160" w:type="dxa"/>
          </w:tcPr>
          <w:p w14:paraId="6FF73AD0" w14:textId="77777777" w:rsidR="00C543AA" w:rsidRDefault="00000000">
            <w:r>
              <w:t>Higher distributional robustness</w:t>
            </w:r>
          </w:p>
        </w:tc>
      </w:tr>
    </w:tbl>
    <w:p w14:paraId="3C69C6AE" w14:textId="77777777" w:rsidR="00C543AA" w:rsidRDefault="00000000">
      <w:pPr>
        <w:pStyle w:val="Heading1"/>
      </w:pPr>
      <w:r>
        <w:t>10. Discussion</w:t>
      </w:r>
    </w:p>
    <w:p w14:paraId="40F7CCAA" w14:textId="77777777" w:rsidR="00C543AA" w:rsidRDefault="00000000">
      <w:r>
        <w:t>The proposed attention mechanism is intended to improve alignment stability rather than replace the overall TTS architecture. Future work includes multilingual evaluation, expressive speech synthesis, robustness to long utterances, and integration with non-autoregressive decoders.</w:t>
      </w:r>
    </w:p>
    <w:p w14:paraId="7D736C39" w14:textId="77777777" w:rsidR="00C543AA" w:rsidRDefault="00000000">
      <w:pPr>
        <w:pStyle w:val="Heading1"/>
      </w:pPr>
      <w:r>
        <w:lastRenderedPageBreak/>
        <w:t>11. Limitations</w:t>
      </w:r>
    </w:p>
    <w:p w14:paraId="500BB813" w14:textId="77777777" w:rsidR="00C543AA" w:rsidRDefault="00000000">
      <w:r>
        <w:t>This manuscript intentionally avoids claims of state-of-the-art performance because the proposed method has not yet been validated on public speech corpora. Real experiments, statistical significance testing, and listening studies are required before publication claims can be made.</w:t>
      </w:r>
    </w:p>
    <w:p w14:paraId="6CA183FF" w14:textId="77777777" w:rsidR="00C543AA" w:rsidRDefault="00000000">
      <w:pPr>
        <w:pStyle w:val="Heading1"/>
      </w:pPr>
      <w:r>
        <w:t>12. Conclusion</w:t>
      </w:r>
    </w:p>
    <w:p w14:paraId="0B51B857" w14:textId="77777777" w:rsidR="00C543AA" w:rsidRDefault="00000000">
      <w:r>
        <w:t>Adaptive Hybrid Attention provides a simple extension to attention-based neural TTS that combines the flexibility of location-sensitive attention with the stability of monotonic alignment. The proposed formulation is computationally lightweight and suitable for integration into existing encoder-decoder architectures.</w:t>
      </w:r>
    </w:p>
    <w:p w14:paraId="591987E5" w14:textId="77777777" w:rsidR="00C543AA" w:rsidRDefault="00000000">
      <w:pPr>
        <w:pStyle w:val="Heading1"/>
      </w:pPr>
      <w:r>
        <w:t>References</w:t>
      </w:r>
    </w:p>
    <w:p w14:paraId="437F2F10" w14:textId="77777777" w:rsidR="00C543AA" w:rsidRDefault="00000000">
      <w:pPr>
        <w:pStyle w:val="ListBullet"/>
      </w:pPr>
      <w:r>
        <w:t>Wang et al. Tacotron. Interspeech 2017.</w:t>
      </w:r>
    </w:p>
    <w:p w14:paraId="013D4E9C" w14:textId="77777777" w:rsidR="00C543AA" w:rsidRDefault="00000000">
      <w:pPr>
        <w:pStyle w:val="ListBullet"/>
      </w:pPr>
      <w:r>
        <w:t>Shen et al. Tacotron 2. ICASSP 2018.</w:t>
      </w:r>
    </w:p>
    <w:p w14:paraId="27FD6953" w14:textId="77777777" w:rsidR="00C543AA" w:rsidRDefault="00000000">
      <w:pPr>
        <w:pStyle w:val="ListBullet"/>
      </w:pPr>
      <w:r>
        <w:t>Vaswani et al. Attention Is All You Need. NeurIPS 2017.</w:t>
      </w:r>
    </w:p>
    <w:p w14:paraId="3FBE66E7" w14:textId="77777777" w:rsidR="00C543AA" w:rsidRDefault="00000000">
      <w:pPr>
        <w:pStyle w:val="ListBullet"/>
      </w:pPr>
      <w:r>
        <w:t>Raffel et al. Online and Linear-Time Attention by Enforcing Monotonic Alignments. ICML 2017.</w:t>
      </w:r>
    </w:p>
    <w:p w14:paraId="067E716B" w14:textId="77777777" w:rsidR="00C543AA" w:rsidRDefault="00000000">
      <w:pPr>
        <w:pStyle w:val="ListBullet"/>
      </w:pPr>
      <w:r>
        <w:t>Li et al. FastSpeech. NeurIPS 2019.</w:t>
      </w:r>
    </w:p>
    <w:p w14:paraId="5575FF72" w14:textId="5DF2E79B" w:rsidR="00C543AA" w:rsidRDefault="00000000" w:rsidP="0033303C">
      <w:pPr>
        <w:pStyle w:val="ListBullet"/>
      </w:pPr>
      <w:r>
        <w:t>Ren et al. FastSpeech 2. ICLR 2021.</w:t>
      </w:r>
      <w:r>
        <w:br w:type="page"/>
      </w:r>
    </w:p>
    <w:p w14:paraId="2AD5A091" w14:textId="77777777" w:rsidR="00C543AA" w:rsidRDefault="00000000">
      <w:pPr>
        <w:pStyle w:val="Heading1"/>
      </w:pPr>
      <w:r>
        <w:lastRenderedPageBreak/>
        <w:t>Appendix A: Notes for Reproducibility</w:t>
      </w:r>
    </w:p>
    <w:p w14:paraId="607DA095" w14:textId="77777777" w:rsidR="00C543AA" w:rsidRDefault="00000000">
      <w:r>
        <w:t>The accompanying Python implementation provides a reference implementation of the proposed attention module together with a deterministic synthetic benchmark. Future revisions should include configuration files, training scripts, pretrained checkpoints, dataset preprocessing steps, and evaluation scripts to satisfy reproducibility expectations.</w:t>
      </w:r>
    </w:p>
    <w:sectPr w:rsidR="00C543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90849">
    <w:abstractNumId w:val="8"/>
  </w:num>
  <w:num w:numId="2" w16cid:durableId="523323018">
    <w:abstractNumId w:val="6"/>
  </w:num>
  <w:num w:numId="3" w16cid:durableId="1892186741">
    <w:abstractNumId w:val="5"/>
  </w:num>
  <w:num w:numId="4" w16cid:durableId="1380393936">
    <w:abstractNumId w:val="4"/>
  </w:num>
  <w:num w:numId="5" w16cid:durableId="125048104">
    <w:abstractNumId w:val="7"/>
  </w:num>
  <w:num w:numId="6" w16cid:durableId="1356808943">
    <w:abstractNumId w:val="3"/>
  </w:num>
  <w:num w:numId="7" w16cid:durableId="1703440653">
    <w:abstractNumId w:val="2"/>
  </w:num>
  <w:num w:numId="8" w16cid:durableId="188377505">
    <w:abstractNumId w:val="1"/>
  </w:num>
  <w:num w:numId="9" w16cid:durableId="1157653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03C"/>
    <w:rsid w:val="0082667D"/>
    <w:rsid w:val="00AA1D8D"/>
    <w:rsid w:val="00B47730"/>
    <w:rsid w:val="00C543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6024F"/>
  <w14:defaultImageDpi w14:val="300"/>
  <w15:docId w15:val="{2E55276A-0E3D-41A5-BBE5-94DB10B0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2026-08-10T07:50:00Z</dcterms:modified>
  <cp:category/>
</cp:coreProperties>
</file>