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b4a09db1275df4b376015cb255eedbd0d09231"/>
    <w:p>
      <w:pPr>
        <w:pStyle w:val="Heading1"/>
      </w:pPr>
      <w:r>
        <w:t xml:space="preserve">Adaptive Hybrid Attention for Improving Alignment Stability in End-to-End Text-to-Speech Systems</w:t>
      </w:r>
    </w:p>
    <w:p>
      <w:pPr>
        <w:pStyle w:val="FirstParagraph"/>
      </w:pPr>
      <w:r>
        <w:rPr>
          <w:b/>
          <w:bCs/>
        </w:rPr>
        <w:t xml:space="preserve">Draft Research Manuscript (Research Proposal with Preliminary Controlled Experiments)</w:t>
      </w:r>
    </w:p>
    <w:p>
      <w:r>
        <w:pict>
          <v:rect style="width:0;height:1.5pt" o:hralign="center" o:hrstd="t" o:hr="t"/>
        </w:pict>
      </w:r>
    </w:p>
    <w:bookmarkStart w:id="9" w:name="abstract"/>
    <w:p>
      <w:pPr>
        <w:pStyle w:val="Heading2"/>
      </w:pPr>
      <w:r>
        <w:t xml:space="preserve">Abstract</w:t>
      </w:r>
    </w:p>
    <w:p>
      <w:pPr>
        <w:pStyle w:val="FirstParagraph"/>
      </w:pPr>
      <w:r>
        <w:t xml:space="preserve">End-to-end neural text-to-speech (TTS) systems have significantly advanced speech synthesis by directly mapping text sequences to acoustic representations. Architectures such as Tacotron and Tacotron 2 demonstrate that attention-based sequence-to-sequence learning can produce highly natural speech without requiring extensive handcrafted linguistic features. Despite these advances, attention remains one of the principal sources of synthesis errors. Long utterances, uncommon words, and domain shifts frequently lead to unstable alignments that manifest as skipped words, repeated phrases, premature termination, or attention collapse.</w:t>
      </w:r>
    </w:p>
    <w:p>
      <w:pPr>
        <w:pStyle w:val="BodyText"/>
      </w:pPr>
      <w:r>
        <w:t xml:space="preserve">This paper proposes</w:t>
      </w:r>
      <w:r>
        <w:t xml:space="preserve"> </w:t>
      </w:r>
      <w:r>
        <w:rPr>
          <w:b/>
          <w:bCs/>
        </w:rPr>
        <w:t xml:space="preserve">Adaptive Hybrid Attention (AHA)</w:t>
      </w:r>
      <w:r>
        <w:t xml:space="preserve">, a dynamic attention mechanism that combines location-sensitive attention with a monotonic alignment prior through a learnable gating function. Unlike fixed interpolation strategies, the proposed gate adapts during decoding according to the decoder state and contextual information, allowing the model to balance flexibility and monotonic progression automatically. The objective is to improve alignment stability while maintaining the naturalness of synthesized speech.</w:t>
      </w:r>
    </w:p>
    <w:p>
      <w:pPr>
        <w:pStyle w:val="BodyText"/>
      </w:pPr>
      <w:r>
        <w:t xml:space="preserve">A preliminary controlled synthetic alignment benchmark is presented to demonstrate the behavior of the proposed mechanism under noisy alignment conditions. The benchmark indicates reductions in backward alignment movement, large attention jumps, and mean alignment error compared with a location-sensitive baseline. These controlled experiments illustrate the potential advantages of the proposed mechanism; full validation on standard TTS datasets such as LJSpeech or VCTK remains future work.</w:t>
      </w:r>
    </w:p>
    <w:p>
      <w:pPr>
        <w:pStyle w:val="BodyText"/>
      </w:pPr>
      <w:r>
        <w:rPr>
          <w:b/>
          <w:bCs/>
        </w:rPr>
        <w:t xml:space="preserve">Keywords:</w:t>
      </w:r>
      <w:r>
        <w:t xml:space="preserve"> </w:t>
      </w:r>
      <w:r>
        <w:t xml:space="preserve">Text-to-Speech, Tacotron 2, Neural TTS, Attention Mechanism, Alignment Stability, Sequence-to-Sequence Learning</w:t>
      </w:r>
    </w:p>
    <w:p>
      <w:r>
        <w:pict>
          <v:rect style="width:0;height:1.5pt" o:hralign="center" o:hrstd="t" o:hr="t"/>
        </w:pict>
      </w:r>
    </w:p>
    <w:bookmarkEnd w:id="9"/>
    <w:bookmarkEnd w:id="10"/>
    <w:bookmarkStart w:id="12" w:name="introduction"/>
    <w:p>
      <w:pPr>
        <w:pStyle w:val="Heading1"/>
      </w:pPr>
      <w:r>
        <w:t xml:space="preserve">1. Introduction</w:t>
      </w:r>
    </w:p>
    <w:p>
      <w:pPr>
        <w:pStyle w:val="FirstParagraph"/>
      </w:pPr>
      <w:r>
        <w:t xml:space="preserve">Text-to-speech synthesis has evolved from concatenative and statistical parametric methods to deep neural architectures capable of generating highly natural speech directly from text. Modern encoder-decoder architectures eliminate much of the handcrafted feature engineering traditionally required for speech synthesis by learning linguistic and acoustic representations jointly.</w:t>
      </w:r>
    </w:p>
    <w:p>
      <w:pPr>
        <w:pStyle w:val="BodyText"/>
      </w:pPr>
      <w:r>
        <w:t xml:space="preserve">A fundamental component of these architectures is the attention mechanism, which determines how encoded linguistic representations are aligned with acoustic frames during decoding. While attention provides flexibility, it also introduces instability because alignment must be learned implicitly during training.</w:t>
      </w:r>
    </w:p>
    <w:p>
      <w:pPr>
        <w:pStyle w:val="BodyText"/>
      </w:pPr>
      <w:r>
        <w:t xml:space="preserve">Typical alignment failures include:</w:t>
      </w:r>
    </w:p>
    <w:p>
      <w:pPr>
        <w:pStyle w:val="Compact"/>
        <w:numPr>
          <w:ilvl w:val="0"/>
          <w:numId w:val="1001"/>
        </w:numPr>
      </w:pPr>
      <w:r>
        <w:t xml:space="preserve">skipped words,</w:t>
      </w:r>
    </w:p>
    <w:p>
      <w:pPr>
        <w:pStyle w:val="Compact"/>
        <w:numPr>
          <w:ilvl w:val="0"/>
          <w:numId w:val="1001"/>
        </w:numPr>
      </w:pPr>
      <w:r>
        <w:t xml:space="preserve">repeated words,</w:t>
      </w:r>
    </w:p>
    <w:p>
      <w:pPr>
        <w:pStyle w:val="Compact"/>
        <w:numPr>
          <w:ilvl w:val="0"/>
          <w:numId w:val="1001"/>
        </w:numPr>
      </w:pPr>
      <w:r>
        <w:t xml:space="preserve">incorrect pauses,</w:t>
      </w:r>
    </w:p>
    <w:p>
      <w:pPr>
        <w:pStyle w:val="Compact"/>
        <w:numPr>
          <w:ilvl w:val="0"/>
          <w:numId w:val="1001"/>
        </w:numPr>
      </w:pPr>
      <w:r>
        <w:t xml:space="preserve">attention drift,</w:t>
      </w:r>
    </w:p>
    <w:p>
      <w:pPr>
        <w:pStyle w:val="Compact"/>
        <w:numPr>
          <w:ilvl w:val="0"/>
          <w:numId w:val="1001"/>
        </w:numPr>
      </w:pPr>
      <w:r>
        <w:t xml:space="preserve">premature end-of-sentence prediction,</w:t>
      </w:r>
    </w:p>
    <w:p>
      <w:pPr>
        <w:pStyle w:val="Compact"/>
        <w:numPr>
          <w:ilvl w:val="0"/>
          <w:numId w:val="1001"/>
        </w:numPr>
      </w:pPr>
      <w:r>
        <w:t xml:space="preserve">failure on long sentences.</w:t>
      </w:r>
    </w:p>
    <w:p>
      <w:pPr>
        <w:pStyle w:val="FirstParagraph"/>
      </w:pPr>
      <w:r>
        <w:t xml:space="preserve">These issues become more severe as sentence length increases or when the input distribution differs from the training corpus.</w:t>
      </w:r>
    </w:p>
    <w:p>
      <w:pPr>
        <w:pStyle w:val="BodyText"/>
      </w:pPr>
      <w:r>
        <w:t xml:space="preserve">This work investigates whether combining two complementary alignment strategies can improve robustness:</w:t>
      </w:r>
    </w:p>
    <w:p>
      <w:pPr>
        <w:pStyle w:val="Compact"/>
        <w:numPr>
          <w:ilvl w:val="0"/>
          <w:numId w:val="1002"/>
        </w:numPr>
      </w:pPr>
      <w:r>
        <w:rPr>
          <w:b/>
          <w:bCs/>
        </w:rPr>
        <w:t xml:space="preserve">Location-sensitive attention</w:t>
      </w:r>
      <w:r>
        <w:t xml:space="preserve">, which provides flexible local alignment.</w:t>
      </w:r>
    </w:p>
    <w:p>
      <w:pPr>
        <w:pStyle w:val="Compact"/>
        <w:numPr>
          <w:ilvl w:val="0"/>
          <w:numId w:val="1002"/>
        </w:numPr>
      </w:pPr>
      <w:r>
        <w:rPr>
          <w:b/>
          <w:bCs/>
        </w:rPr>
        <w:t xml:space="preserve">Monotonic attention</w:t>
      </w:r>
      <w:r>
        <w:t xml:space="preserve">, which encourages forward progression.</w:t>
      </w:r>
    </w:p>
    <w:p>
      <w:pPr>
        <w:pStyle w:val="FirstParagraph"/>
      </w:pPr>
      <w:r>
        <w:t xml:space="preserve">Instead of relying on either mechanism exclusively, the proposed Adaptive Hybrid Attention dynamically determines how much each branch contributes at every decoding step.</w:t>
      </w:r>
    </w:p>
    <w:bookmarkStart w:id="11" w:name="contributions"/>
    <w:p>
      <w:pPr>
        <w:pStyle w:val="Heading3"/>
      </w:pPr>
      <w:r>
        <w:t xml:space="preserve">Contributions</w:t>
      </w:r>
    </w:p>
    <w:p>
      <w:pPr>
        <w:pStyle w:val="FirstParagraph"/>
      </w:pPr>
      <w:r>
        <w:t xml:space="preserve">The main contributions of this work are:</w:t>
      </w:r>
    </w:p>
    <w:p>
      <w:pPr>
        <w:pStyle w:val="Compact"/>
        <w:numPr>
          <w:ilvl w:val="0"/>
          <w:numId w:val="1003"/>
        </w:numPr>
      </w:pPr>
      <w:r>
        <w:t xml:space="preserve">An Adaptive Hybrid Attention architecture that fuses location-sensitive and monotonic attention through a learnable gate.</w:t>
      </w:r>
    </w:p>
    <w:p>
      <w:pPr>
        <w:pStyle w:val="Compact"/>
        <w:numPr>
          <w:ilvl w:val="0"/>
          <w:numId w:val="1003"/>
        </w:numPr>
      </w:pPr>
      <w:r>
        <w:t xml:space="preserve">A mathematical formulation suitable for integration into Tacotron-style encoder-decoder systems.</w:t>
      </w:r>
    </w:p>
    <w:p>
      <w:pPr>
        <w:pStyle w:val="Compact"/>
        <w:numPr>
          <w:ilvl w:val="0"/>
          <w:numId w:val="1003"/>
        </w:numPr>
      </w:pPr>
      <w:r>
        <w:t xml:space="preserve">A reproducible synthetic alignment benchmark for preliminary evaluation.</w:t>
      </w:r>
    </w:p>
    <w:p>
      <w:pPr>
        <w:pStyle w:val="Compact"/>
        <w:numPr>
          <w:ilvl w:val="0"/>
          <w:numId w:val="1003"/>
        </w:numPr>
      </w:pPr>
      <w:r>
        <w:t xml:space="preserve">An experimental protocol for future validation on standard TTS corpora.</w:t>
      </w:r>
    </w:p>
    <w:p>
      <w:r>
        <w:pict>
          <v:rect style="width:0;height:1.5pt" o:hralign="center" o:hrstd="t" o:hr="t"/>
        </w:pict>
      </w:r>
    </w:p>
    <w:bookmarkEnd w:id="11"/>
    <w:bookmarkEnd w:id="12"/>
    <w:bookmarkStart w:id="13" w:name="related-work"/>
    <w:p>
      <w:pPr>
        <w:pStyle w:val="Heading1"/>
      </w:pPr>
      <w:r>
        <w:t xml:space="preserve">2. Related Work</w:t>
      </w:r>
    </w:p>
    <w:p>
      <w:pPr>
        <w:pStyle w:val="FirstParagraph"/>
      </w:pPr>
      <w:r>
        <w:rPr>
          <w:i/>
          <w:iCs/>
        </w:rPr>
        <w:t xml:space="preserve">(This section should review Tacotron, Tacotron 2, location-sensitive attention, monotonic attention, Transformer TTS, FastSpeech, Glow-TTS, VITS, and guided-attention losses, explaining their strengths and remaining alignment limitations. A full manuscript would expand this section with detailed comparisons and citations.)</w:t>
      </w:r>
    </w:p>
    <w:p>
      <w:r>
        <w:pict>
          <v:rect style="width:0;height:1.5pt" o:hralign="center" o:hrstd="t" o:hr="t"/>
        </w:pict>
      </w:r>
    </w:p>
    <w:bookmarkEnd w:id="13"/>
    <w:bookmarkStart w:id="16" w:name="proposed-adaptive-hybrid-attention"/>
    <w:p>
      <w:pPr>
        <w:pStyle w:val="Heading1"/>
      </w:pPr>
      <w:r>
        <w:t xml:space="preserve">3. Proposed Adaptive Hybrid Attention</w:t>
      </w:r>
    </w:p>
    <w:bookmarkStart w:id="14" w:name="overall-architecture"/>
    <w:p>
      <w:pPr>
        <w:pStyle w:val="Heading2"/>
      </w:pPr>
      <w:r>
        <w:t xml:space="preserve">3.1 Overall Architecture</w:t>
      </w:r>
    </w:p>
    <w:p>
      <w:pPr>
        <w:pStyle w:val="SourceCode"/>
      </w:pPr>
      <w:r>
        <w:rPr>
          <w:rStyle w:val="VerbatimChar"/>
        </w:rPr>
        <w:t xml:space="preserve">                Text Input</w:t>
      </w:r>
      <w:r>
        <w:br/>
      </w:r>
      <w:r>
        <w:rPr>
          <w:rStyle w:val="VerbatimChar"/>
        </w:rPr>
        <w:t xml:space="preserve">                     │</w:t>
      </w:r>
      <w:r>
        <w:br/>
      </w:r>
      <w:r>
        <w:rPr>
          <w:rStyle w:val="VerbatimChar"/>
        </w:rPr>
        <w:t xml:space="preserve">             Text Normalization</w:t>
      </w:r>
      <w:r>
        <w:br/>
      </w:r>
      <w:r>
        <w:rPr>
          <w:rStyle w:val="VerbatimChar"/>
        </w:rPr>
        <w:t xml:space="preserve">                     │</w:t>
      </w:r>
      <w:r>
        <w:br/>
      </w:r>
      <w:r>
        <w:rPr>
          <w:rStyle w:val="VerbatimChar"/>
        </w:rPr>
        <w:t xml:space="preserve">          Character / Phoneme Tokens</w:t>
      </w:r>
      <w:r>
        <w:br/>
      </w:r>
      <w:r>
        <w:rPr>
          <w:rStyle w:val="VerbatimChar"/>
        </w:rPr>
        <w:t xml:space="preserve">                     │</w:t>
      </w:r>
      <w:r>
        <w:br/>
      </w:r>
      <w:r>
        <w:rPr>
          <w:rStyle w:val="VerbatimChar"/>
        </w:rPr>
        <w:t xml:space="preserve">             Embedding Layer</w:t>
      </w:r>
      <w:r>
        <w:br/>
      </w:r>
      <w:r>
        <w:rPr>
          <w:rStyle w:val="VerbatimChar"/>
        </w:rPr>
        <w:t xml:space="preserve">                     │</w:t>
      </w:r>
      <w:r>
        <w:br/>
      </w:r>
      <w:r>
        <w:rPr>
          <w:rStyle w:val="VerbatimChar"/>
        </w:rPr>
        <w:t xml:space="preserve">           Bidirectional Encoder</w:t>
      </w:r>
      <w:r>
        <w:br/>
      </w:r>
      <w:r>
        <w:rPr>
          <w:rStyle w:val="VerbatimChar"/>
        </w:rPr>
        <w:t xml:space="preserve">                     │</w:t>
      </w:r>
      <w:r>
        <w:br/>
      </w:r>
      <w:r>
        <w:rPr>
          <w:rStyle w:val="VerbatimChar"/>
        </w:rPr>
        <w:t xml:space="preserve">        Encoder Hidden Representations</w:t>
      </w:r>
      <w:r>
        <w:br/>
      </w:r>
      <w:r>
        <w:rPr>
          <w:rStyle w:val="VerbatimChar"/>
        </w:rPr>
        <w:t xml:space="preserve">                     │</w:t>
      </w:r>
      <w:r>
        <w:br/>
      </w:r>
      <w:r>
        <w:rPr>
          <w:rStyle w:val="VerbatimChar"/>
        </w:rPr>
        <w:t xml:space="preserve">      ┌────────────────────────────────┐</w:t>
      </w:r>
      <w:r>
        <w:br/>
      </w:r>
      <w:r>
        <w:rPr>
          <w:rStyle w:val="VerbatimChar"/>
        </w:rPr>
        <w:t xml:space="preserve">      │ Adaptive Hybrid Attention      │</w:t>
      </w:r>
      <w:r>
        <w:br/>
      </w:r>
      <w:r>
        <w:rPr>
          <w:rStyle w:val="VerbatimChar"/>
        </w:rPr>
        <w:t xml:space="preserve">      │                                │</w:t>
      </w:r>
      <w:r>
        <w:br/>
      </w:r>
      <w:r>
        <w:rPr>
          <w:rStyle w:val="VerbatimChar"/>
        </w:rPr>
        <w:t xml:space="preserve">      │  Location-Sensitive Branch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Monotonic Prior      │    │</w:t>
      </w:r>
      <w:r>
        <w:br/>
      </w:r>
      <w:r>
        <w:rPr>
          <w:rStyle w:val="VerbatimChar"/>
        </w:rPr>
        <w:t xml:space="preserve">      │              │            │    │</w:t>
      </w:r>
      <w:r>
        <w:br/>
      </w:r>
      <w:r>
        <w:rPr>
          <w:rStyle w:val="VerbatimChar"/>
        </w:rPr>
        <w:t xml:space="preserve">      │      Adaptive Gate (λ)    │    │</w:t>
      </w:r>
      <w:r>
        <w:br/>
      </w:r>
      <w:r>
        <w:rPr>
          <w:rStyle w:val="VerbatimChar"/>
        </w:rPr>
        <w:t xml:space="preserve">      │              │            │    │</w:t>
      </w:r>
      <w:r>
        <w:br/>
      </w:r>
      <w:r>
        <w:rPr>
          <w:rStyle w:val="VerbatimChar"/>
        </w:rPr>
        <w:t xml:space="preserve">      │ α = λαloc +(1−λ)αmono     │    │</w:t>
      </w:r>
      <w:r>
        <w:br/>
      </w:r>
      <w:r>
        <w:rPr>
          <w:rStyle w:val="VerbatimChar"/>
        </w:rPr>
        <w:t xml:space="preserve">      └──────────────┬────────────┘</w:t>
      </w:r>
      <w:r>
        <w:br/>
      </w:r>
      <w:r>
        <w:rPr>
          <w:rStyle w:val="VerbatimChar"/>
        </w:rPr>
        <w:t xml:space="preserve">                     │</w:t>
      </w:r>
      <w:r>
        <w:br/>
      </w:r>
      <w:r>
        <w:rPr>
          <w:rStyle w:val="VerbatimChar"/>
        </w:rPr>
        <w:t xml:space="preserve">               Context Vector</w:t>
      </w:r>
      <w:r>
        <w:br/>
      </w:r>
      <w:r>
        <w:rPr>
          <w:rStyle w:val="VerbatimChar"/>
        </w:rPr>
        <w:t xml:space="preserve">                     │</w:t>
      </w:r>
      <w:r>
        <w:br/>
      </w:r>
      <w:r>
        <w:rPr>
          <w:rStyle w:val="VerbatimChar"/>
        </w:rPr>
        <w:t xml:space="preserve">           Autoregressive Decoder</w:t>
      </w:r>
      <w:r>
        <w:br/>
      </w:r>
      <w:r>
        <w:rPr>
          <w:rStyle w:val="VerbatimChar"/>
        </w:rPr>
        <w:t xml:space="preserve">                     │</w:t>
      </w:r>
      <w:r>
        <w:br/>
      </w:r>
      <w:r>
        <w:rPr>
          <w:rStyle w:val="VerbatimChar"/>
        </w:rPr>
        <w:t xml:space="preserve">             Mel Spectrogram</w:t>
      </w:r>
      <w:r>
        <w:br/>
      </w:r>
      <w:r>
        <w:rPr>
          <w:rStyle w:val="VerbatimChar"/>
        </w:rPr>
        <w:t xml:space="preserve">                     │</w:t>
      </w:r>
      <w:r>
        <w:br/>
      </w:r>
      <w:r>
        <w:rPr>
          <w:rStyle w:val="VerbatimChar"/>
        </w:rPr>
        <w:t xml:space="preserve">          Neural Vocoder (HiFi-GAN)</w:t>
      </w:r>
      <w:r>
        <w:br/>
      </w:r>
      <w:r>
        <w:rPr>
          <w:rStyle w:val="VerbatimChar"/>
        </w:rPr>
        <w:t xml:space="preserve">                     │</w:t>
      </w:r>
      <w:r>
        <w:br/>
      </w:r>
      <w:r>
        <w:rPr>
          <w:rStyle w:val="VerbatimChar"/>
        </w:rPr>
        <w:t xml:space="preserve">              Synthesized Speech</w:t>
      </w:r>
    </w:p>
    <w:bookmarkEnd w:id="14"/>
    <w:bookmarkStart w:id="15" w:name="adaptive-gate"/>
    <w:p>
      <w:pPr>
        <w:pStyle w:val="Heading2"/>
      </w:pPr>
      <w:r>
        <w:t xml:space="preserve">3.2 Adaptive Gate</w:t>
      </w:r>
    </w:p>
    <w:p>
      <w:pPr>
        <w:pStyle w:val="FirstParagraph"/>
      </w:pPr>
      <w:r>
        <w:t xml:space="preserve">The adaptive gate predicts a weight between the two attention distributions:</w:t>
      </w:r>
    </w:p>
    <w:p>
      <w:pPr>
        <w:pStyle w:val="BodyText"/>
      </w:pPr>
      <w:r>
        <w:t xml:space="preserve">[</w:t>
      </w:r>
      <w:r>
        <w:t xml:space="preserve"> </w:t>
      </w:r>
      <w:r>
        <w:t xml:space="preserve">_t=</w:t>
      </w:r>
      <w:r>
        <w:t xml:space="preserve">(W_g[s_t;c_t]+b_g)</w:t>
      </w:r>
      <w:r>
        <w:t xml:space="preserve"> </w:t>
      </w:r>
      <w:r>
        <w:t xml:space="preserve">]</w:t>
      </w:r>
    </w:p>
    <w:p>
      <w:pPr>
        <w:pStyle w:val="BodyText"/>
      </w:pPr>
      <w:r>
        <w:t xml:space="preserve">where:</w:t>
      </w:r>
    </w:p>
    <w:p>
      <w:pPr>
        <w:pStyle w:val="Compact"/>
        <w:numPr>
          <w:ilvl w:val="0"/>
          <w:numId w:val="1004"/>
        </w:numPr>
      </w:pPr>
      <w:r>
        <w:t xml:space="preserve">(s_t) is the decoder state,</w:t>
      </w:r>
    </w:p>
    <w:p>
      <w:pPr>
        <w:pStyle w:val="Compact"/>
        <w:numPr>
          <w:ilvl w:val="0"/>
          <w:numId w:val="1004"/>
        </w:numPr>
      </w:pPr>
      <w:r>
        <w:t xml:space="preserve">(c_t) is the context summary,</w:t>
      </w:r>
    </w:p>
    <w:p>
      <w:pPr>
        <w:pStyle w:val="Compact"/>
        <w:numPr>
          <w:ilvl w:val="0"/>
          <w:numId w:val="1004"/>
        </w:numPr>
      </w:pPr>
      <w:r>
        <w:t xml:space="preserve">(</w:t>
      </w:r>
      <w:r>
        <w:t xml:space="preserve">) denotes the sigmoid activation.</w:t>
      </w:r>
    </w:p>
    <w:p>
      <w:pPr>
        <w:pStyle w:val="FirstParagraph"/>
      </w:pPr>
      <w:r>
        <w:t xml:space="preserve">The final attention distribution is computed as</w:t>
      </w:r>
    </w:p>
    <w:p>
      <w:pPr>
        <w:pStyle w:val="BodyText"/>
      </w:pPr>
      <w:r>
        <w:t xml:space="preserve">[</w:t>
      </w:r>
      <w:r>
        <w:t xml:space="preserve"> </w:t>
      </w:r>
      <w:r>
        <w:t xml:space="preserve">_t=</w:t>
      </w:r>
      <w:r>
        <w:t xml:space="preserve">_t</w:t>
      </w:r>
      <w:r>
        <w:t xml:space="preserve">_t</w:t>
      </w:r>
      <w:r>
        <w:rPr>
          <w:vertAlign w:val="superscript"/>
        </w:rPr>
        <w:t xml:space="preserve">{loc}+(1-</w:t>
      </w:r>
      <w:r>
        <w:rPr>
          <w:vertAlign w:val="superscript"/>
        </w:rPr>
        <w:t xml:space="preserve">_t)</w:t>
      </w:r>
      <w:r>
        <w:rPr>
          <w:vertAlign w:val="superscript"/>
        </w:rPr>
        <w:t xml:space="preserve">_t</w:t>
      </w:r>
      <w:r>
        <w:t xml:space="preserve">{mono}.</w:t>
      </w:r>
      <w:r>
        <w:t xml:space="preserve"> </w:t>
      </w:r>
      <w:r>
        <w:t xml:space="preserve">]</w:t>
      </w:r>
    </w:p>
    <w:p>
      <w:pPr>
        <w:pStyle w:val="BodyText"/>
      </w:pPr>
      <w:r>
        <w:t xml:space="preserve">This formulation allows the decoder to rely more heavily on monotonic behavior when the alignment becomes uncertain while retaining the flexibility of location-sensitive attention for difficult pronunciations or local corrections.</w:t>
      </w:r>
    </w:p>
    <w:p>
      <w:r>
        <w:pict>
          <v:rect style="width:0;height:1.5pt" o:hralign="center" o:hrstd="t" o:hr="t"/>
        </w:pict>
      </w:r>
    </w:p>
    <w:bookmarkEnd w:id="15"/>
    <w:bookmarkEnd w:id="16"/>
    <w:bookmarkStart w:id="17" w:name="training-strategy"/>
    <w:p>
      <w:pPr>
        <w:pStyle w:val="Heading1"/>
      </w:pPr>
      <w:r>
        <w:t xml:space="preserve">4. Training Strategy</w:t>
      </w:r>
    </w:p>
    <w:p>
      <w:pPr>
        <w:pStyle w:val="FirstParagraph"/>
      </w:pPr>
      <w:r>
        <w:t xml:space="preserve">The model is optimized using the conventional mel-spectrogram reconstruction objective together with stop-token prediction. Guided-attention regularization may be incorporated to encourage approximately diagonal alignments early in training.</w:t>
      </w:r>
    </w:p>
    <w:p>
      <w:pPr>
        <w:pStyle w:val="BodyText"/>
      </w:pPr>
      <w:r>
        <w:t xml:space="preserve">A representative objective is</w:t>
      </w:r>
    </w:p>
    <w:p>
      <w:pPr>
        <w:pStyle w:val="BodyText"/>
      </w:pPr>
      <w:r>
        <w:t xml:space="preserve">[</w:t>
      </w:r>
      <w:r>
        <w:t xml:space="preserve"> </w:t>
      </w:r>
      <w:r>
        <w:t xml:space="preserve">L=L_{mel}+</w:t>
      </w:r>
      <w:r>
        <w:t xml:space="preserve">L_{stop}+</w:t>
      </w:r>
      <w:r>
        <w:t xml:space="preserve">L_{guide},</w:t>
      </w:r>
      <w:r>
        <w:t xml:space="preserve"> </w:t>
      </w:r>
      <w:r>
        <w:t xml:space="preserve">]</w:t>
      </w:r>
    </w:p>
    <w:p>
      <w:pPr>
        <w:pStyle w:val="BodyText"/>
      </w:pPr>
      <w:r>
        <w:t xml:space="preserve">where the coefficients control the contribution of each term.</w:t>
      </w:r>
    </w:p>
    <w:p>
      <w:r>
        <w:pict>
          <v:rect style="width:0;height:1.5pt" o:hralign="center" o:hrstd="t" o:hr="t"/>
        </w:pict>
      </w:r>
    </w:p>
    <w:bookmarkEnd w:id="17"/>
    <w:bookmarkStart w:id="18" w:name="preliminary-controlled-experiment"/>
    <w:p>
      <w:pPr>
        <w:pStyle w:val="Heading1"/>
      </w:pPr>
      <w:r>
        <w:t xml:space="preserve">5. Preliminary Controlled Experiment</w:t>
      </w:r>
    </w:p>
    <w:p>
      <w:pPr>
        <w:pStyle w:val="FirstParagraph"/>
      </w:pPr>
      <w:r>
        <w:t xml:space="preserve">A synthetic alignment benchmark was constructed to evaluate alignment behavior without training a complete TTS model. Artificial decoder trajectories were generated under controlled noise conditions, and the proposed Adaptive Hybrid Attention was compared with a location-sensitive baseline.</w:t>
      </w:r>
    </w:p>
    <w:p>
      <w:pPr>
        <w:pStyle w:val="BodyText"/>
      </w:pPr>
      <w:r>
        <w:t xml:space="preserve">Metrics included:</w:t>
      </w:r>
    </w:p>
    <w:p>
      <w:pPr>
        <w:pStyle w:val="Compact"/>
        <w:numPr>
          <w:ilvl w:val="0"/>
          <w:numId w:val="1005"/>
        </w:numPr>
      </w:pPr>
      <w:r>
        <w:t xml:space="preserve">backward-step rate,</w:t>
      </w:r>
    </w:p>
    <w:p>
      <w:pPr>
        <w:pStyle w:val="Compact"/>
        <w:numPr>
          <w:ilvl w:val="0"/>
          <w:numId w:val="1005"/>
        </w:numPr>
      </w:pPr>
      <w:r>
        <w:t xml:space="preserve">large-jump rate,</w:t>
      </w:r>
    </w:p>
    <w:p>
      <w:pPr>
        <w:pStyle w:val="Compact"/>
        <w:numPr>
          <w:ilvl w:val="0"/>
          <w:numId w:val="1005"/>
        </w:numPr>
      </w:pPr>
      <w:r>
        <w:t xml:space="preserve">mean alignment error,</w:t>
      </w:r>
    </w:p>
    <w:p>
      <w:pPr>
        <w:pStyle w:val="Compact"/>
        <w:numPr>
          <w:ilvl w:val="0"/>
          <w:numId w:val="1005"/>
        </w:numPr>
      </w:pPr>
      <w:r>
        <w:t xml:space="preserve">attention entropy.</w:t>
      </w:r>
    </w:p>
    <w:p>
      <w:pPr>
        <w:pStyle w:val="FirstParagraph"/>
      </w:pPr>
      <w:r>
        <w:t xml:space="preserve">The benchmark demonstrated lower backward movement and fewer large alignment jumps for the proposed method under noisy conditions. Because the benchmark does not synthesize speech, these findings should be interpreted as preliminary evidence of alignment behavior rather than speech-quality improvements.</w:t>
      </w:r>
    </w:p>
    <w:p>
      <w:r>
        <w:pict>
          <v:rect style="width:0;height:1.5pt" o:hralign="center" o:hrstd="t" o:hr="t"/>
        </w:pict>
      </w:r>
    </w:p>
    <w:bookmarkEnd w:id="18"/>
    <w:bookmarkStart w:id="19" w:name="planned-evaluation-on-real-tts-systems"/>
    <w:p>
      <w:pPr>
        <w:pStyle w:val="Heading1"/>
      </w:pPr>
      <w:r>
        <w:t xml:space="preserve">6. Planned Evaluation on Real TTS Systems</w:t>
      </w:r>
    </w:p>
    <w:p>
      <w:pPr>
        <w:pStyle w:val="FirstParagraph"/>
      </w:pPr>
      <w:r>
        <w:t xml:space="preserve">Future experiments should integrate the proposed attention module into a Tacotron 2 implementation and evaluate it on datasets such as LJSpeech and VCTK. Recommended evaluation metrics include Mean Opinion Score (MOS), Mel Cepstral Distortion (MCD), Character Error Rate (CER) computed through automatic speech recognition, alignment failure rate, inference speed, and robustness on long-form sentences. Ablation studies should compare the complete Adaptive Hybrid Attention module against location-sensitive attention alone, monotonic attention alone, and fixed-weight interpolation.</w:t>
      </w:r>
    </w:p>
    <w:p>
      <w:r>
        <w:pict>
          <v:rect style="width:0;height:1.5pt" o:hralign="center" o:hrstd="t" o:hr="t"/>
        </w:pict>
      </w:r>
    </w:p>
    <w:bookmarkEnd w:id="19"/>
    <w:bookmarkStart w:id="20" w:name="discussion"/>
    <w:p>
      <w:pPr>
        <w:pStyle w:val="Heading1"/>
      </w:pPr>
      <w:r>
        <w:t xml:space="preserve">7. Discussion</w:t>
      </w:r>
    </w:p>
    <w:p>
      <w:pPr>
        <w:pStyle w:val="FirstParagraph"/>
      </w:pPr>
      <w:r>
        <w:t xml:space="preserve">The principal hypothesis of this work is that attention instability is not solely a consequence of insufficient modeling capacity but also of relying on a single alignment strategy. By allowing the decoder to interpolate dynamically between flexible local attention and monotonic progression, the proposed architecture may reduce catastrophic alignment failures while preserving natural prosody.</w:t>
      </w:r>
    </w:p>
    <w:p>
      <w:pPr>
        <w:pStyle w:val="BodyText"/>
      </w:pPr>
      <w:r>
        <w:t xml:space="preserve">Potential limitations include the additional computational overhead of the gating network and the need to tune regularization coefficients. These factors should be quantified in future experiments.</w:t>
      </w:r>
    </w:p>
    <w:p>
      <w:r>
        <w:pict>
          <v:rect style="width:0;height:1.5pt" o:hralign="center" o:hrstd="t" o:hr="t"/>
        </w:pict>
      </w:r>
    </w:p>
    <w:bookmarkEnd w:id="20"/>
    <w:bookmarkStart w:id="21" w:name="conclusion"/>
    <w:p>
      <w:pPr>
        <w:pStyle w:val="Heading1"/>
      </w:pPr>
      <w:r>
        <w:t xml:space="preserve">8. Conclusion</w:t>
      </w:r>
    </w:p>
    <w:p>
      <w:pPr>
        <w:pStyle w:val="FirstParagraph"/>
      </w:pPr>
      <w:r>
        <w:t xml:space="preserve">This manuscript presented Adaptive Hybrid Attention, a hybrid alignment mechanism intended to improve the stability of attention-based end-to-end text-to-speech systems. The architecture combines location-sensitive attention and a monotonic prior through a learnable gate, enabling the decoder to adapt its alignment strategy during inference. Preliminary controlled experiments support the intuition that hybrid attention can reduce unstable alignment behavior under noisy conditions. Comprehensive evaluation on standard TTS corpora remains future work.</w:t>
      </w:r>
    </w:p>
    <w:p>
      <w:r>
        <w:pict>
          <v:rect style="width:0;height:1.5pt" o:hralign="center" o:hrstd="t" o:hr="t"/>
        </w:pict>
      </w:r>
    </w:p>
    <w:bookmarkEnd w:id="21"/>
    <w:bookmarkStart w:id="22" w:name="references"/>
    <w:p>
      <w:pPr>
        <w:pStyle w:val="Heading1"/>
      </w:pPr>
      <w:r>
        <w:t xml:space="preserve">References</w:t>
      </w:r>
    </w:p>
    <w:p>
      <w:pPr>
        <w:pStyle w:val="FirstParagraph"/>
      </w:pPr>
      <w:r>
        <w:rPr>
          <w:i/>
          <w:iCs/>
        </w:rPr>
        <w:t xml:space="preserve">(Include approximately 40–60 references in the final manuscript. Foundational works include Tacotron, Tacotron 2, Attention Is All You Need, Online and Linear-Time Attention by Enforcing Monotonic Alignments, FastSpeech, FastSpeech 2, Glow-TTS, VITS, and related attention/alignment literature.)</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