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2022</w:t>
      </w:r>
    </w:p>
    <w:p>
      <w:pPr>
        <w:pStyle w:val="Author"/>
      </w:pPr>
    </w:p>
    <w:p>
      <w:pPr>
        <w:pStyle w:val="Date"/>
      </w:pPr>
    </w:p>
    <w:bookmarkStart w:id="22" w:name="logistics"/>
    <w:p>
      <w:pPr>
        <w:pStyle w:val="Heading1"/>
      </w:pPr>
      <w:r>
        <w:t xml:space="preserve">Logistics</w:t>
      </w:r>
    </w:p>
    <w:p>
      <w:pPr>
        <w:numPr>
          <w:ilvl w:val="0"/>
          <w:numId w:val="1001"/>
        </w:numPr>
        <w:pStyle w:val="Compact"/>
      </w:pPr>
      <w:r>
        <w:t xml:space="preserve">Due Wednesday 5/8/2022 at ll:59pm</w:t>
      </w:r>
    </w:p>
    <w:p>
      <w:pPr>
        <w:numPr>
          <w:ilvl w:val="0"/>
          <w:numId w:val="1001"/>
        </w:numPr>
        <w:pStyle w:val="Compact"/>
      </w:pPr>
      <w:r>
        <w:t xml:space="preserve">Submit completed final exam here:</w:t>
      </w:r>
      <w:r>
        <w:t xml:space="preserve"> </w:t>
      </w:r>
      <w:hyperlink r:id="rId20">
        <w:r>
          <w:rPr>
            <w:rStyle w:val="Hyperlink"/>
          </w:rPr>
          <w:t xml:space="preserve">LINK</w:t>
        </w:r>
      </w:hyperlink>
    </w:p>
    <w:p>
      <w:pPr>
        <w:numPr>
          <w:ilvl w:val="1"/>
          <w:numId w:val="1002"/>
        </w:numPr>
        <w:pStyle w:val="Compact"/>
      </w:pPr>
      <w:r>
        <w:rPr>
          <w:bCs/>
          <w:b/>
        </w:rPr>
        <w:t xml:space="preserve">Note</w:t>
      </w:r>
      <w:r>
        <w:t xml:space="preserve">: If clicking on the link above does not work for you, you may need to paste the URL above directly into your browser</w:t>
      </w:r>
    </w:p>
    <w:bookmarkStart w:id="21" w:name="honor-code"/>
    <w:p>
      <w:pPr>
        <w:pStyle w:val="Heading2"/>
      </w:pPr>
      <w:r>
        <w:t xml:space="preserve">Honor Code</w:t>
      </w:r>
    </w:p>
    <w:p>
      <w:pPr>
        <w:numPr>
          <w:ilvl w:val="0"/>
          <w:numId w:val="1003"/>
        </w:numPr>
        <w:pStyle w:val="Compact"/>
      </w:pPr>
      <w:r>
        <w:t xml:space="preserve">Please type your full name here:</w:t>
      </w:r>
      <w:r>
        <w:t xml:space="preserve"> </w:t>
      </w:r>
      <w:r>
        <w:rPr>
          <w:rStyle w:val="VerbatimChar"/>
        </w:rPr>
        <w:t xml:space="preserve">&lt;YOUR NAME&gt;</w:t>
      </w:r>
    </w:p>
    <w:p>
      <w:pPr>
        <w:numPr>
          <w:ilvl w:val="0"/>
          <w:numId w:val="1003"/>
        </w:numPr>
        <w:pStyle w:val="Compact"/>
      </w:pPr>
      <w:r>
        <w:t xml:space="preserve">By typing your name, you affirm that you did not receive help from anyone when completing this final exam, that you did not discuss the contents of the final exam with classmates, and that you are using your own words (excluding quoted text)</w:t>
      </w:r>
    </w:p>
    <w:bookmarkEnd w:id="21"/>
    <w:bookmarkEnd w:id="22"/>
    <w:bookmarkStart w:id="23" w:name="concepts"/>
    <w:p>
      <w:pPr>
        <w:pStyle w:val="Heading1"/>
      </w:pPr>
      <w:r>
        <w:t xml:space="preserve">Concepts</w:t>
      </w:r>
    </w:p>
    <w:p>
      <w:pPr>
        <w:pStyle w:val="FirstParagraph"/>
      </w:pPr>
      <w:r>
        <w:t xml:space="preserve">1 point each</w:t>
      </w:r>
    </w:p>
    <w:p>
      <w:pPr>
        <w:pStyle w:val="BodyText"/>
      </w:pPr>
      <w:r>
        <w:rPr>
          <w:bCs/>
          <w:b/>
        </w:rPr>
        <w:t xml:space="preserve">Instructions</w:t>
      </w:r>
    </w:p>
    <w:p>
      <w:pPr>
        <w:numPr>
          <w:ilvl w:val="0"/>
          <w:numId w:val="1004"/>
        </w:numPr>
        <w:pStyle w:val="Compact"/>
      </w:pPr>
      <w:r>
        <w:t xml:space="preserve">For each question, (1) define the concept(s) (one-sentence definition per concept is fine; a few questions ask about two concepts) and (2) provide an example of the concept (one sentence is fine).</w:t>
      </w:r>
    </w:p>
    <w:p>
      <w:pPr>
        <w:numPr>
          <w:ilvl w:val="0"/>
          <w:numId w:val="1004"/>
        </w:numPr>
        <w:pStyle w:val="Compact"/>
      </w:pPr>
      <w:r>
        <w:rPr>
          <w:iCs/>
          <w:i/>
        </w:rPr>
        <w:t xml:space="preserve">Note</w:t>
      </w:r>
      <w:r>
        <w:t xml:space="preserve">: You must define the concept in your own words rather than quoting lecture slides/readings; Provide an example that does not come from lecture slides</w:t>
      </w:r>
    </w:p>
    <w:p>
      <w:pPr>
        <w:pStyle w:val="FirstParagraph"/>
      </w:pPr>
      <w:r>
        <w:rPr>
          <w:bCs/>
          <w:b/>
        </w:rPr>
        <w:t xml:space="preserve">Concepts</w:t>
      </w:r>
    </w:p>
    <w:p>
      <w:pPr>
        <w:pStyle w:val="BodyText"/>
      </w:pPr>
      <w:r>
        <w:t xml:space="preserve">1 point each; 15 points total</w:t>
      </w:r>
    </w:p>
    <w:p>
      <w:pPr>
        <w:numPr>
          <w:ilvl w:val="0"/>
          <w:numId w:val="1005"/>
        </w:numPr>
        <w:pStyle w:val="Compact"/>
      </w:pPr>
      <w:r>
        <w:rPr>
          <w:iCs/>
          <w:i/>
          <w:bCs/>
          <w:b/>
        </w:rPr>
        <w:t xml:space="preserve">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Organizational 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Strong organizational culture</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Heteronormativity</w:t>
      </w:r>
    </w:p>
    <w:p>
      <w:pPr>
        <w:numPr>
          <w:ilvl w:val="0"/>
          <w:numId w:val="1005"/>
        </w:numPr>
        <w:pStyle w:val="Compact"/>
      </w:pPr>
      <w:r>
        <w:rPr>
          <w:iCs/>
          <w:i/>
          <w:bCs/>
          <w:b/>
        </w:rPr>
        <w:t xml:space="preserve">Queering</w:t>
      </w:r>
      <w:r>
        <w:t xml:space="preserve"> </w:t>
      </w:r>
      <w:r>
        <w:t xml:space="preserve">(as a strategy for change)</w:t>
      </w:r>
    </w:p>
    <w:p>
      <w:pPr>
        <w:numPr>
          <w:ilvl w:val="0"/>
          <w:numId w:val="1005"/>
        </w:numPr>
        <w:pStyle w:val="Compact"/>
      </w:pPr>
      <w:r>
        <w:rPr>
          <w:iCs/>
          <w:i/>
          <w:bCs/>
          <w:b/>
        </w:rPr>
        <w:t xml:space="preserve">Norms</w:t>
      </w:r>
      <w:r>
        <w:t xml:space="preserve"> </w:t>
      </w:r>
      <w:r>
        <w:t xml:space="preserve">(drawing from queer theory; see</w:t>
      </w:r>
      <w:r>
        <w:t xml:space="preserve"> </w:t>
      </w:r>
      <w:r>
        <w:t xml:space="preserve">McDonald (2015)</w:t>
      </w:r>
      <w:r>
        <w:t xml:space="preserve">)</w:t>
      </w:r>
    </w:p>
    <w:p>
      <w:pPr>
        <w:numPr>
          <w:ilvl w:val="0"/>
          <w:numId w:val="1005"/>
        </w:numPr>
        <w:pStyle w:val="Compact"/>
      </w:pPr>
      <w:r>
        <w:rPr>
          <w:iCs/>
          <w:i/>
          <w:bCs/>
          <w:b/>
        </w:rPr>
        <w:t xml:space="preserve">Institution</w:t>
      </w:r>
      <w:r>
        <w:t xml:space="preserve"> </w:t>
      </w:r>
      <w:r>
        <w:t xml:space="preserve">(old institutionalism)</w:t>
      </w:r>
    </w:p>
    <w:p>
      <w:pPr>
        <w:numPr>
          <w:ilvl w:val="0"/>
          <w:numId w:val="1005"/>
        </w:numPr>
        <w:pStyle w:val="Compact"/>
      </w:pPr>
      <w:r>
        <w:rPr>
          <w:iCs/>
          <w:i/>
          <w:bCs/>
          <w:b/>
        </w:rPr>
        <w:t xml:space="preserve">Institution</w:t>
      </w:r>
      <w:r>
        <w:t xml:space="preserve"> </w:t>
      </w:r>
      <w:r>
        <w:t xml:space="preserve">(new institutionalism)</w:t>
      </w:r>
    </w:p>
    <w:p>
      <w:pPr>
        <w:numPr>
          <w:ilvl w:val="0"/>
          <w:numId w:val="1005"/>
        </w:numPr>
        <w:pStyle w:val="Compact"/>
      </w:pPr>
      <w:r>
        <w:rPr>
          <w:iCs/>
          <w:i/>
          <w:bCs/>
          <w:b/>
        </w:rPr>
        <w:t xml:space="preserve">Institutionalization</w:t>
      </w:r>
      <w:r>
        <w:t xml:space="preserve"> </w:t>
      </w:r>
      <w:r>
        <w:t xml:space="preserve">(old institutionalism)</w:t>
      </w:r>
    </w:p>
    <w:p>
      <w:pPr>
        <w:numPr>
          <w:ilvl w:val="0"/>
          <w:numId w:val="1005"/>
        </w:numPr>
        <w:pStyle w:val="Compact"/>
      </w:pPr>
      <w:r>
        <w:rPr>
          <w:iCs/>
          <w:i/>
          <w:bCs/>
          <w:b/>
        </w:rPr>
        <w:t xml:space="preserve">Institutionalization</w:t>
      </w:r>
      <w:r>
        <w:t xml:space="preserve"> </w:t>
      </w:r>
      <w:r>
        <w:t xml:space="preserve">(new institutionalism)</w:t>
      </w:r>
    </w:p>
    <w:p>
      <w:pPr>
        <w:numPr>
          <w:ilvl w:val="0"/>
          <w:numId w:val="1005"/>
        </w:numPr>
        <w:pStyle w:val="Compact"/>
      </w:pPr>
      <w:r>
        <w:rPr>
          <w:iCs/>
          <w:i/>
          <w:bCs/>
          <w:b/>
        </w:rPr>
        <w:t xml:space="preserve">Buffering</w:t>
      </w:r>
      <w:r>
        <w:t xml:space="preserve"> </w:t>
      </w:r>
      <w:r>
        <w:t xml:space="preserve">(from contingency theory; see lecture slides because no reading assigned on contingency theory)</w:t>
      </w:r>
    </w:p>
    <w:p>
      <w:pPr>
        <w:numPr>
          <w:ilvl w:val="0"/>
          <w:numId w:val="1005"/>
        </w:numPr>
        <w:pStyle w:val="Compact"/>
      </w:pPr>
      <w:r>
        <w:rPr>
          <w:iCs/>
          <w:i/>
          <w:bCs/>
          <w:b/>
        </w:rPr>
        <w:t xml:space="preserve">Tight coupling vs. loose coupling</w:t>
      </w:r>
    </w:p>
    <w:p>
      <w:pPr>
        <w:numPr>
          <w:ilvl w:val="0"/>
          <w:numId w:val="1005"/>
        </w:numPr>
        <w:pStyle w:val="Compact"/>
      </w:pPr>
      <w:r>
        <w:rPr>
          <w:iCs/>
          <w:i/>
          <w:bCs/>
          <w:b/>
        </w:rPr>
        <w:t xml:space="preserve">Decoupling</w:t>
      </w:r>
    </w:p>
    <w:p>
      <w:pPr>
        <w:numPr>
          <w:ilvl w:val="0"/>
          <w:numId w:val="1005"/>
        </w:numPr>
        <w:pStyle w:val="Compact"/>
      </w:pPr>
      <w:r>
        <w:rPr>
          <w:iCs/>
          <w:i/>
          <w:bCs/>
          <w:b/>
        </w:rPr>
        <w:t xml:space="preserve">“</w:t>
      </w:r>
      <w:r>
        <w:rPr>
          <w:iCs/>
          <w:i/>
          <w:bCs/>
          <w:b/>
        </w:rPr>
        <w:t xml:space="preserve">Solutions looking for problems</w:t>
      </w:r>
      <w:r>
        <w:rPr>
          <w:iCs/>
          <w:i/>
          <w:bCs/>
          <w:b/>
        </w:rPr>
        <w:t xml:space="preserve">”</w:t>
      </w:r>
    </w:p>
    <w:p>
      <w:pPr>
        <w:numPr>
          <w:ilvl w:val="0"/>
          <w:numId w:val="1005"/>
        </w:numPr>
        <w:pStyle w:val="Compact"/>
      </w:pPr>
      <w:r>
        <w:rPr>
          <w:iCs/>
          <w:i/>
          <w:bCs/>
          <w:b/>
        </w:rPr>
        <w:t xml:space="preserve">Dependence</w:t>
      </w:r>
      <w:r>
        <w:t xml:space="preserve"> </w:t>
      </w:r>
      <w:r>
        <w:t xml:space="preserve">(either Emerson or Pfeffer and Salancik)</w:t>
      </w:r>
    </w:p>
    <w:p>
      <w:pPr>
        <w:numPr>
          <w:ilvl w:val="0"/>
          <w:numId w:val="1005"/>
        </w:numPr>
        <w:pStyle w:val="Compact"/>
      </w:pPr>
      <w:r>
        <w:rPr>
          <w:iCs/>
          <w:i/>
          <w:bCs/>
          <w:b/>
        </w:rPr>
        <w:t xml:space="preserve">Asymmetric power relationship</w:t>
      </w:r>
      <w:r>
        <w:t xml:space="preserve"> </w:t>
      </w:r>
      <w:r>
        <w:t xml:space="preserve">(either Emerson or Pfeffer and Salancik)</w:t>
      </w:r>
    </w:p>
    <w:p>
      <w:pPr>
        <w:numPr>
          <w:ilvl w:val="0"/>
          <w:numId w:val="1005"/>
        </w:numPr>
        <w:pStyle w:val="Compact"/>
      </w:pPr>
      <w:r>
        <w:rPr>
          <w:iCs/>
          <w:i/>
          <w:bCs/>
          <w:b/>
        </w:rPr>
        <w:t xml:space="preserve">Cooptation</w:t>
      </w:r>
      <w:r>
        <w:t xml:space="preserve"> </w:t>
      </w:r>
      <w:r>
        <w:t xml:space="preserve">(from resource dependence theory)</w:t>
      </w:r>
    </w:p>
    <w:p>
      <w:pPr>
        <w:numPr>
          <w:ilvl w:val="0"/>
          <w:numId w:val="1005"/>
        </w:numPr>
        <w:pStyle w:val="Compact"/>
      </w:pPr>
      <w:r>
        <w:rPr>
          <w:iCs/>
          <w:i/>
          <w:bCs/>
          <w:b/>
        </w:rPr>
        <w:t xml:space="preserve">“</w:t>
      </w:r>
      <w:r>
        <w:rPr>
          <w:iCs/>
          <w:i/>
          <w:bCs/>
          <w:b/>
        </w:rPr>
        <w:t xml:space="preserve">Technical</w:t>
      </w:r>
      <w:r>
        <w:rPr>
          <w:iCs/>
          <w:i/>
          <w:bCs/>
          <w:b/>
        </w:rPr>
        <w:t xml:space="preserve">”</w:t>
      </w:r>
      <w:r>
        <w:rPr>
          <w:iCs/>
          <w:i/>
          <w:bCs/>
          <w:b/>
        </w:rPr>
        <w:t xml:space="preserve"> </w:t>
      </w:r>
      <w:r>
        <w:rPr>
          <w:iCs/>
          <w:i/>
          <w:bCs/>
          <w:b/>
        </w:rPr>
        <w:t xml:space="preserve">vs. </w:t>
      </w:r>
      <w:r>
        <w:rPr>
          <w:iCs/>
          <w:i/>
          <w:bCs/>
          <w:b/>
        </w:rPr>
        <w:t xml:space="preserve">“</w:t>
      </w:r>
      <w:r>
        <w:rPr>
          <w:iCs/>
          <w:i/>
          <w:bCs/>
          <w:b/>
        </w:rPr>
        <w:t xml:space="preserve">institutional</w:t>
      </w:r>
      <w:r>
        <w:rPr>
          <w:iCs/>
          <w:i/>
          <w:bCs/>
          <w:b/>
        </w:rPr>
        <w:t xml:space="preserve">”</w:t>
      </w:r>
      <w:r>
        <w:rPr>
          <w:iCs/>
          <w:i/>
          <w:bCs/>
          <w:b/>
        </w:rPr>
        <w:t xml:space="preserve"> </w:t>
      </w:r>
      <w:r>
        <w:rPr>
          <w:iCs/>
          <w:i/>
          <w:bCs/>
          <w:b/>
        </w:rPr>
        <w:t xml:space="preserve">reason for formal structure</w:t>
      </w:r>
      <w:r>
        <w:t xml:space="preserve"> </w:t>
      </w:r>
      <w:r>
        <w:t xml:space="preserve">(e.g., offices, policies; Meyer &amp; Roway)</w:t>
      </w:r>
    </w:p>
    <w:p>
      <w:pPr>
        <w:numPr>
          <w:ilvl w:val="0"/>
          <w:numId w:val="1005"/>
        </w:numPr>
        <w:pStyle w:val="Compact"/>
      </w:pPr>
      <w:r>
        <w:rPr>
          <w:iCs/>
          <w:i/>
          <w:bCs/>
          <w:b/>
        </w:rPr>
        <w:t xml:space="preserve">Symbolic adoption vs. substantive adoption</w:t>
      </w:r>
    </w:p>
    <w:p>
      <w:pPr>
        <w:numPr>
          <w:ilvl w:val="0"/>
          <w:numId w:val="1005"/>
        </w:numPr>
        <w:pStyle w:val="Compact"/>
      </w:pPr>
      <w:r>
        <w:rPr>
          <w:iCs/>
          <w:i/>
          <w:bCs/>
          <w:b/>
        </w:rPr>
        <w:t xml:space="preserve">Competitive isomorphism</w:t>
      </w:r>
    </w:p>
    <w:p>
      <w:pPr>
        <w:numPr>
          <w:ilvl w:val="0"/>
          <w:numId w:val="1005"/>
        </w:numPr>
        <w:pStyle w:val="Compact"/>
      </w:pPr>
      <w:r>
        <w:rPr>
          <w:iCs/>
          <w:i/>
          <w:bCs/>
          <w:b/>
        </w:rPr>
        <w:t xml:space="preserve">Mimetic isomorphism</w:t>
      </w:r>
    </w:p>
    <w:p>
      <w:pPr>
        <w:numPr>
          <w:ilvl w:val="0"/>
          <w:numId w:val="1005"/>
        </w:numPr>
        <w:pStyle w:val="Compact"/>
      </w:pPr>
      <w:r>
        <w:rPr>
          <w:iCs/>
          <w:i/>
          <w:bCs/>
          <w:b/>
        </w:rPr>
        <w:t xml:space="preserve">Coercive isomorphism</w:t>
      </w:r>
    </w:p>
    <w:p>
      <w:pPr>
        <w:numPr>
          <w:ilvl w:val="0"/>
          <w:numId w:val="1005"/>
        </w:numPr>
        <w:pStyle w:val="Compact"/>
      </w:pPr>
      <w:r>
        <w:rPr>
          <w:iCs/>
          <w:i/>
          <w:bCs/>
          <w:b/>
        </w:rPr>
        <w:t xml:space="preserve">Normative isomorphism</w:t>
      </w:r>
    </w:p>
    <w:p>
      <w:pPr>
        <w:numPr>
          <w:ilvl w:val="0"/>
          <w:numId w:val="1005"/>
        </w:numPr>
        <w:pStyle w:val="Compact"/>
      </w:pPr>
      <w:r>
        <w:rPr>
          <w:iCs/>
          <w:i/>
          <w:bCs/>
          <w:b/>
        </w:rPr>
        <w:t xml:space="preserve">Choose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p>
      <w:pPr>
        <w:numPr>
          <w:ilvl w:val="0"/>
          <w:numId w:val="1005"/>
        </w:numPr>
        <w:pStyle w:val="Compact"/>
      </w:pPr>
      <w:r>
        <w:rPr>
          <w:iCs/>
          <w:i/>
          <w:bCs/>
          <w:b/>
        </w:rPr>
        <w:t xml:space="preserve">Choose another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bookmarkEnd w:id="23"/>
    <w:bookmarkStart w:id="24" w:name="short-answers"/>
    <w:p>
      <w:pPr>
        <w:pStyle w:val="Heading1"/>
      </w:pPr>
      <w:r>
        <w:t xml:space="preserve">Short answers</w:t>
      </w:r>
    </w:p>
    <w:p>
      <w:pPr>
        <w:pStyle w:val="FirstParagraph"/>
      </w:pPr>
      <w:r>
        <w:t xml:space="preserve">3 points each</w:t>
      </w:r>
    </w:p>
    <w:p>
      <w:pPr>
        <w:pStyle w:val="BodyText"/>
      </w:pPr>
      <w:r>
        <w:t xml:space="preserve">Answer each of the following questions in 2-4 sentences:</w:t>
      </w:r>
    </w:p>
    <w:p>
      <w:pPr>
        <w:numPr>
          <w:ilvl w:val="0"/>
          <w:numId w:val="1006"/>
        </w:numPr>
        <w:pStyle w:val="Compact"/>
      </w:pPr>
      <w:r>
        <w:t xml:space="preserve">Define the concept of</w:t>
      </w:r>
      <w:r>
        <w:t xml:space="preserve"> </w:t>
      </w:r>
      <w:r>
        <w:t xml:space="preserve">“</w:t>
      </w:r>
      <w:r>
        <w:t xml:space="preserve">template</w:t>
      </w:r>
      <w:r>
        <w:t xml:space="preserve">”</w:t>
      </w:r>
      <w:r>
        <w:t xml:space="preserve"> </w:t>
      </w:r>
      <w:r>
        <w:t xml:space="preserve">from</w:t>
      </w:r>
      <w:r>
        <w:t xml:space="preserve"> </w:t>
      </w:r>
      <w:r>
        <w:t xml:space="preserve">Greenwood &amp; Hinings (1996)</w:t>
      </w:r>
      <w:r>
        <w:t xml:space="preserve">. We might say that the Association for the Study of Higher Education (ASHE) 2017 presidential address by Shaun Harper lays out a new organizational template for the field. In a couple sentences, comment on what sort of research is deemed valuable within this new template and what sort of research is deemed not valuable.</w:t>
      </w:r>
    </w:p>
    <w:p>
      <w:pPr>
        <w:numPr>
          <w:ilvl w:val="0"/>
          <w:numId w:val="1006"/>
        </w:numPr>
        <w:pStyle w:val="Compact"/>
      </w:pPr>
      <w:r>
        <w:t xml:space="preserve">Define the concepts of</w:t>
      </w:r>
      <w:r>
        <w:t xml:space="preserve"> </w:t>
      </w:r>
      <w:r>
        <w:t xml:space="preserve">“</w:t>
      </w:r>
      <w:r>
        <w:t xml:space="preserve">radical change</w:t>
      </w:r>
      <w:r>
        <w:t xml:space="preserve">”</w:t>
      </w:r>
      <w:r>
        <w:t xml:space="preserve"> </w:t>
      </w:r>
      <w:r>
        <w:t xml:space="preserve">versus</w:t>
      </w:r>
      <w:r>
        <w:t xml:space="preserve"> </w:t>
      </w:r>
      <w:r>
        <w:t xml:space="preserve">“</w:t>
      </w:r>
      <w:r>
        <w:t xml:space="preserve">convergent change</w:t>
      </w:r>
      <w:r>
        <w:t xml:space="preserve">”</w:t>
      </w:r>
      <w:r>
        <w:t xml:space="preserve"> </w:t>
      </w:r>
      <w:r>
        <w:t xml:space="preserve">from</w:t>
      </w:r>
      <w:r>
        <w:t xml:space="preserve"> </w:t>
      </w:r>
      <w:r>
        <w:t xml:space="preserve">Greenwood &amp; Hinings (1996)</w:t>
      </w:r>
      <w:r>
        <w:t xml:space="preserve">. Would you consider recent changes within the ASHE professional association radical or convergent? Why? (by</w:t>
      </w:r>
      <w:r>
        <w:t xml:space="preserve"> </w:t>
      </w:r>
      <w:r>
        <w:t xml:space="preserve">“</w:t>
      </w:r>
      <w:r>
        <w:t xml:space="preserve">recent changes,</w:t>
      </w:r>
      <w:r>
        <w:t xml:space="preserve">”</w:t>
      </w:r>
      <w:r>
        <w:t xml:space="preserve"> </w:t>
      </w:r>
      <w:r>
        <w:t xml:space="preserve">I’m thinking of changes leading up to and immediately following the 2017 ASHE presidential address)</w:t>
      </w:r>
    </w:p>
    <w:bookmarkEnd w:id="24"/>
    <w:bookmarkStart w:id="27" w:name="essay"/>
    <w:p>
      <w:pPr>
        <w:pStyle w:val="Heading1"/>
      </w:pPr>
      <w:r>
        <w:t xml:space="preserve">Essay</w:t>
      </w:r>
    </w:p>
    <w:p>
      <w:pPr>
        <w:pStyle w:val="FirstParagraph"/>
      </w:pPr>
      <w:r>
        <w:t xml:space="preserve">Answer one of the following two essay prompts. Essay is worth 63 points [sorry not a very round number!]. Can place your essay at the end of this word document.</w:t>
      </w:r>
    </w:p>
    <w:p>
      <w:pPr>
        <w:numPr>
          <w:ilvl w:val="0"/>
          <w:numId w:val="1007"/>
        </w:numPr>
        <w:pStyle w:val="Compact"/>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numPr>
          <w:ilvl w:val="1"/>
          <w:numId w:val="1008"/>
        </w:numPr>
        <w:pStyle w:val="Compact"/>
      </w:pPr>
      <w:r>
        <w:t xml:space="preserve">On the conceptual framework</w:t>
      </w:r>
    </w:p>
    <w:p>
      <w:pPr>
        <w:numPr>
          <w:ilvl w:val="2"/>
          <w:numId w:val="1009"/>
        </w:numPr>
        <w:pStyle w:val="Compact"/>
      </w:pPr>
      <w:r>
        <w:t xml:space="preserve">this is the heart of the essay, probably two-thirds of text.</w:t>
      </w:r>
    </w:p>
    <w:p>
      <w:pPr>
        <w:numPr>
          <w:ilvl w:val="2"/>
          <w:numId w:val="1009"/>
        </w:numPr>
        <w:pStyle w:val="Compact"/>
      </w:pPr>
      <w:r>
        <w:t xml:space="preserve">Whatever theory(s) you choose, first lay out what the theory says, focusing on ideas/concepts that are most relevant to your study and show how these ideas/concepts are applied to your study</w:t>
      </w:r>
    </w:p>
    <w:p>
      <w:pPr>
        <w:numPr>
          <w:ilvl w:val="2"/>
          <w:numId w:val="1009"/>
        </w:numPr>
        <w:pStyle w:val="Compact"/>
      </w:pPr>
      <w:r>
        <w:t xml:space="preserve">The conceptual framework should lay out – based on theory – which actors/relationships/processes the research should pay attention to</w:t>
      </w:r>
    </w:p>
    <w:p>
      <w:pPr>
        <w:numPr>
          <w:ilvl w:val="2"/>
          <w:numId w:val="1009"/>
        </w:numPr>
        <w:pStyle w:val="Compact"/>
      </w:pPr>
      <w:r>
        <w:t xml:space="preserve">guidelines from</w:t>
      </w:r>
      <w:r>
        <w:t xml:space="preserve"> </w:t>
      </w:r>
      <w:hyperlink r:id="rId25">
        <w:r>
          <w:rPr>
            <w:rStyle w:val="Hyperlink"/>
          </w:rPr>
          <w:t xml:space="preserve">Google Doc on conceptual frameworks</w:t>
        </w:r>
      </w:hyperlink>
      <w:r>
        <w:t xml:space="preserve"> </w:t>
      </w:r>
      <w:r>
        <w:t xml:space="preserve">will be helpful</w:t>
      </w:r>
    </w:p>
    <w:p>
      <w:pPr>
        <w:numPr>
          <w:ilvl w:val="1"/>
          <w:numId w:val="1008"/>
        </w:numPr>
        <w:pStyle w:val="Compact"/>
      </w:pPr>
      <w:r>
        <w:t xml:space="preserve">On the discussion of data source(s):</w:t>
      </w:r>
    </w:p>
    <w:p>
      <w:pPr>
        <w:numPr>
          <w:ilvl w:val="2"/>
          <w:numId w:val="1010"/>
        </w:numPr>
        <w:pStyle w:val="Compact"/>
      </w:pPr>
      <w:r>
        <w:t xml:space="preserve">Here, try to minimize research methodology jargon.</w:t>
      </w:r>
    </w:p>
    <w:p>
      <w:pPr>
        <w:numPr>
          <w:ilvl w:val="2"/>
          <w:numId w:val="1010"/>
        </w:numPr>
        <w:pStyle w:val="Compact"/>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numPr>
          <w:ilvl w:val="1"/>
          <w:numId w:val="1008"/>
        </w:numPr>
        <w:pStyle w:val="Compact"/>
      </w:pPr>
      <w:r>
        <w:t xml:space="preserve">On choice of theory(s) for your conceptual framework</w:t>
      </w:r>
    </w:p>
    <w:p>
      <w:pPr>
        <w:numPr>
          <w:ilvl w:val="2"/>
          <w:numId w:val="1011"/>
        </w:numPr>
        <w:pStyle w:val="Compact"/>
      </w:pPr>
      <w:r>
        <w:t xml:space="preserve">At least one of the theories, must be a theoretical perspective from this class (e.g., garbage can theory, old institutionalism, whiteness as property)</w:t>
      </w:r>
    </w:p>
    <w:p>
      <w:pPr>
        <w:numPr>
          <w:ilvl w:val="2"/>
          <w:numId w:val="1011"/>
        </w:numPr>
        <w:pStyle w:val="Compact"/>
      </w:pPr>
      <w:r>
        <w:t xml:space="preserve">if focusing on just one theory (rather than integrating two), it can’t be resource dependence theory because that was the focus of the mid-quarter essay</w:t>
      </w:r>
    </w:p>
    <w:p>
      <w:pPr>
        <w:numPr>
          <w:ilvl w:val="2"/>
          <w:numId w:val="1011"/>
        </w:numPr>
        <w:pStyle w:val="Compact"/>
      </w:pPr>
      <w:r>
        <w:rPr>
          <w:iCs/>
          <w:i/>
        </w:rPr>
        <w:t xml:space="preserve">Recommendation</w:t>
      </w:r>
      <w:r>
        <w:t xml:space="preserve">: choose at least one theory that speaks to the</w:t>
      </w:r>
      <w:r>
        <w:t xml:space="preserve"> </w:t>
      </w:r>
      <w:r>
        <w:rPr>
          <w:iCs/>
          <w:i/>
        </w:rPr>
        <w:t xml:space="preserve">actions</w:t>
      </w:r>
      <w:r>
        <w:t xml:space="preserve">/</w:t>
      </w:r>
      <w:r>
        <w:rPr>
          <w:iCs/>
          <w:i/>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p>
      <w:pPr>
        <w:numPr>
          <w:ilvl w:val="0"/>
          <w:numId w:val="1007"/>
        </w:numPr>
        <w:pStyle w:val="Compact"/>
      </w:pPr>
      <w:r>
        <w:t xml:space="preserve">Develop a conceptual framework to analyze a</w:t>
      </w:r>
      <w:r>
        <w:t xml:space="preserve"> </w:t>
      </w:r>
      <w:r>
        <w:t xml:space="preserve">“</w:t>
      </w:r>
      <w:r>
        <w:t xml:space="preserve">case</w:t>
      </w:r>
      <w:r>
        <w:t xml:space="preserve">”</w:t>
      </w:r>
      <w:r>
        <w:t xml:space="preserve"> </w:t>
      </w:r>
      <w:r>
        <w:t xml:space="preserve">or issue issue of your choosing (e.g., any story from Inside Higher Ed over the past year) and then analyze the case using your conceptual framework. The expectations for this essay are the same as question #1 except for the following:</w:t>
      </w:r>
    </w:p>
    <w:p>
      <w:pPr>
        <w:numPr>
          <w:ilvl w:val="1"/>
          <w:numId w:val="1012"/>
        </w:numPr>
        <w:pStyle w:val="Compact"/>
      </w:pPr>
      <w:r>
        <w:t xml:space="preserve">do not need to specify a research question (although you can)</w:t>
      </w:r>
    </w:p>
    <w:p>
      <w:pPr>
        <w:numPr>
          <w:ilvl w:val="1"/>
          <w:numId w:val="1012"/>
        </w:numPr>
        <w:pStyle w:val="Compact"/>
      </w:pPr>
      <w:r>
        <w:t xml:space="preserve">do not discuss data sources to answer the research question</w:t>
      </w:r>
    </w:p>
    <w:p>
      <w:pPr>
        <w:numPr>
          <w:ilvl w:val="1"/>
          <w:numId w:val="1012"/>
        </w:numPr>
        <w:pStyle w:val="Compact"/>
      </w:pPr>
      <w:r>
        <w:t xml:space="preserve">question #1 asks you to develop a conceptual framework to analyze the case, but doesn’t require you to actually analyze the case; by contrast, in this question I want you to analyze the case using the framework you laid out (e.g., based on your conceptual framework, why did things play out the way they did)</w:t>
      </w:r>
    </w:p>
    <w:p>
      <w:pPr>
        <w:numPr>
          <w:ilvl w:val="1"/>
          <w:numId w:val="1012"/>
        </w:numPr>
        <w:pStyle w:val="Compact"/>
      </w:pPr>
      <w:r>
        <w:t xml:space="preserve">you might decide to provide more than one paragraph of context about your case, but no need to spend more than an hour</w:t>
      </w:r>
      <w:r>
        <w:t xml:space="preserve"> </w:t>
      </w:r>
      <w:r>
        <w:t xml:space="preserve">“</w:t>
      </w:r>
      <w:r>
        <w:t xml:space="preserve">investigating</w:t>
      </w:r>
      <w:r>
        <w:t xml:space="preserve">”</w:t>
      </w:r>
    </w:p>
    <w:bookmarkStart w:id="26" w:name="Xc28135acc99586b03d694fe271f6135ebf7d494"/>
    <w:p>
      <w:pPr>
        <w:pStyle w:val="Heading2"/>
      </w:pPr>
      <w:r>
        <w:t xml:space="preserve">Essay guidelines and recommendations (written Winter 2021)</w:t>
      </w:r>
    </w:p>
    <w:p>
      <w:pPr>
        <w:numPr>
          <w:ilvl w:val="0"/>
          <w:numId w:val="1013"/>
        </w:numPr>
        <w:pStyle w:val="Compact"/>
      </w:pPr>
      <w:r>
        <w:t xml:space="preserve">Guidelines</w:t>
      </w:r>
    </w:p>
    <w:p>
      <w:pPr>
        <w:numPr>
          <w:ilvl w:val="1"/>
          <w:numId w:val="1014"/>
        </w:numPr>
        <w:pStyle w:val="Compact"/>
      </w:pPr>
      <w:r>
        <w:t xml:space="preserve">Essay should be three to four pages (excluding references) double space, size 11 or 12 font, one inch margins all around</w:t>
      </w:r>
    </w:p>
    <w:p>
      <w:pPr>
        <w:numPr>
          <w:ilvl w:val="2"/>
          <w:numId w:val="1015"/>
        </w:numPr>
        <w:pStyle w:val="Compact"/>
      </w:pPr>
      <w:r>
        <w:t xml:space="preserve">A bit less than three pages is fine, but cannot be longer than four pages</w:t>
      </w:r>
    </w:p>
    <w:p>
      <w:pPr>
        <w:numPr>
          <w:ilvl w:val="1"/>
          <w:numId w:val="1014"/>
        </w:numPr>
        <w:pStyle w:val="Compact"/>
      </w:pPr>
      <w:r>
        <w:t xml:space="preserve">Follow APA style</w:t>
      </w:r>
    </w:p>
    <w:p>
      <w:pPr>
        <w:numPr>
          <w:ilvl w:val="2"/>
          <w:numId w:val="1016"/>
        </w:numPr>
        <w:pStyle w:val="Compact"/>
      </w:pPr>
      <w:r>
        <w:t xml:space="preserve">Use citations when appropriate</w:t>
      </w:r>
    </w:p>
    <w:p>
      <w:pPr>
        <w:numPr>
          <w:ilvl w:val="2"/>
          <w:numId w:val="1016"/>
        </w:numPr>
        <w:pStyle w:val="Compact"/>
      </w:pPr>
      <w:r>
        <w:t xml:space="preserve">Any verbatim text from another source MUST be cited and quoted; failure to do this will be considered plagiarism and will result in no credit for the essay</w:t>
      </w:r>
    </w:p>
    <w:p>
      <w:pPr>
        <w:numPr>
          <w:ilvl w:val="0"/>
          <w:numId w:val="1013"/>
        </w:numPr>
        <w:pStyle w:val="Compact"/>
      </w:pPr>
      <w:r>
        <w:t xml:space="preserve">Recommendations on theory</w:t>
      </w:r>
    </w:p>
    <w:p>
      <w:pPr>
        <w:numPr>
          <w:ilvl w:val="1"/>
          <w:numId w:val="1017"/>
        </w:numPr>
        <w:pStyle w:val="Compact"/>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numPr>
          <w:ilvl w:val="2"/>
          <w:numId w:val="1018"/>
        </w:numPr>
        <w:pStyle w:val="Compact"/>
      </w:pPr>
      <w:r>
        <w:t xml:space="preserve">And when applying this concept to a case, state how the concept is being operationalized in the case/issue being studied</w:t>
      </w:r>
    </w:p>
    <w:p>
      <w:pPr>
        <w:numPr>
          <w:ilvl w:val="1"/>
          <w:numId w:val="1017"/>
        </w:numPr>
        <w:pStyle w:val="Compact"/>
      </w:pPr>
      <w:r>
        <w:t xml:space="preserve">Be selective about which elements of theory your essay focuses on</w:t>
      </w:r>
    </w:p>
    <w:p>
      <w:pPr>
        <w:numPr>
          <w:ilvl w:val="2"/>
          <w:numId w:val="1019"/>
        </w:numPr>
        <w:pStyle w:val="Compact"/>
      </w:pPr>
      <w:r>
        <w:t xml:space="preserve">Breadth is often the enemy of depth</w:t>
      </w:r>
    </w:p>
    <w:p>
      <w:pPr>
        <w:numPr>
          <w:ilvl w:val="3"/>
          <w:numId w:val="1020"/>
        </w:numPr>
        <w:pStyle w:val="Compact"/>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numPr>
          <w:ilvl w:val="2"/>
          <w:numId w:val="1019"/>
        </w:numPr>
        <w:pStyle w:val="Compact"/>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numPr>
          <w:ilvl w:val="1"/>
          <w:numId w:val="1017"/>
        </w:numPr>
        <w:pStyle w:val="Compact"/>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numPr>
          <w:ilvl w:val="0"/>
          <w:numId w:val="1013"/>
        </w:numPr>
        <w:pStyle w:val="Compact"/>
      </w:pPr>
      <w:r>
        <w:t xml:space="preserve">Recommendations on writing</w:t>
      </w:r>
    </w:p>
    <w:p>
      <w:pPr>
        <w:numPr>
          <w:ilvl w:val="1"/>
          <w:numId w:val="1021"/>
        </w:numPr>
        <w:pStyle w:val="Compact"/>
      </w:pPr>
      <w:r>
        <w:t xml:space="preserve">Create an outline to develop logical flow of ideas/argument</w:t>
      </w:r>
    </w:p>
    <w:p>
      <w:pPr>
        <w:numPr>
          <w:ilvl w:val="1"/>
          <w:numId w:val="1021"/>
        </w:numPr>
        <w:pStyle w:val="Compact"/>
      </w:pPr>
      <w:r>
        <w:t xml:space="preserve">Strive for clear language that presents your ideas as simply as possible</w:t>
      </w:r>
    </w:p>
    <w:p>
      <w:pPr>
        <w:numPr>
          <w:ilvl w:val="1"/>
          <w:numId w:val="1021"/>
        </w:numPr>
        <w:pStyle w:val="Compact"/>
      </w:pPr>
      <w:r>
        <w:t xml:space="preserve">Each paragraph should be about one idea/topic (could be big or small)</w:t>
      </w:r>
    </w:p>
    <w:p>
      <w:pPr>
        <w:numPr>
          <w:ilvl w:val="1"/>
          <w:numId w:val="1021"/>
        </w:numPr>
        <w:pStyle w:val="Compact"/>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numPr>
          <w:ilvl w:val="1"/>
          <w:numId w:val="1021"/>
        </w:numPr>
        <w:pStyle w:val="Compact"/>
      </w:pPr>
      <w:r>
        <w:t xml:space="preserve">Subsequent sentences flesh out the idea of topic sentence, develop logical</w:t>
      </w:r>
      <w:r>
        <w:t xml:space="preserve"> </w:t>
      </w:r>
      <w:r>
        <w:t xml:space="preserve">argument and/or empirical evidence</w:t>
      </w:r>
    </w:p>
    <w:p>
      <w:pPr>
        <w:numPr>
          <w:ilvl w:val="1"/>
          <w:numId w:val="1021"/>
        </w:numPr>
        <w:pStyle w:val="Compact"/>
      </w:pPr>
      <w:r>
        <w:t xml:space="preserve">Avoid introducing entirely new topics halfway through the paragraph. This confuses the reader and undermines the logical argument/evidence the paragraph is building. If you want to introduce a new idea, start a new paragraph.</w:t>
      </w:r>
    </w:p>
    <w:bookmarkEnd w:id="26"/>
    <w:bookmarkEnd w:id="27"/>
    <w:bookmarkStart w:id="37" w:name="references"/>
    <w:p>
      <w:pPr>
        <w:pStyle w:val="Heading1"/>
      </w:pPr>
      <w:r>
        <w:t xml:space="preserve">References</w:t>
      </w:r>
    </w:p>
    <w:bookmarkStart w:id="36" w:name="refs"/>
    <w:bookmarkStart w:id="28" w:name="ref-RN4310"/>
    <w:p>
      <w:pPr>
        <w:pStyle w:val="Bibliography"/>
      </w:pPr>
      <w:r>
        <w:t xml:space="preserve">Birnbaum, R. (1991). The collegial institution: Sharing power and values in a community of equals. In</w:t>
      </w:r>
      <w:r>
        <w:t xml:space="preserve"> </w:t>
      </w:r>
      <w:r>
        <w:rPr>
          <w:iCs/>
          <w:i/>
        </w:rPr>
        <w:t xml:space="preserve">How colleges work: The cybernetics of academic organization and leadership</w:t>
      </w:r>
      <w:r>
        <w:t xml:space="preserve"> </w:t>
      </w:r>
      <w:r>
        <w:t xml:space="preserve">(pp. 85–104). San Francisco: Jossey-Bass.</w:t>
      </w:r>
    </w:p>
    <w:bookmarkEnd w:id="28"/>
    <w:bookmarkStart w:id="30" w:name="ref-RN2432"/>
    <w:p>
      <w:pPr>
        <w:pStyle w:val="Bibliography"/>
      </w:pPr>
      <w:r>
        <w:t xml:space="preserve">Greenwood, R., &amp; Hinings, C. R. (1996). Understanding radical organizational change: Bringing together the old and the new institutionalism.</w:t>
      </w:r>
      <w:r>
        <w:t xml:space="preserve"> </w:t>
      </w:r>
      <w:r>
        <w:rPr>
          <w:iCs/>
          <w:i/>
        </w:rPr>
        <w:t xml:space="preserve">Academy of Management Review</w:t>
      </w:r>
      <w:r>
        <w:t xml:space="preserve">,</w:t>
      </w:r>
      <w:r>
        <w:t xml:space="preserve"> </w:t>
      </w:r>
      <w:r>
        <w:rPr>
          <w:iCs/>
          <w:i/>
        </w:rPr>
        <w:t xml:space="preserve">21</w:t>
      </w:r>
      <w:r>
        <w:t xml:space="preserve">(4), 1022–1054. Retrieved from</w:t>
      </w:r>
      <w:r>
        <w:t xml:space="preserve"> </w:t>
      </w:r>
      <w:hyperlink r:id="rId29">
        <w:r>
          <w:rPr>
            <w:rStyle w:val="Hyperlink"/>
          </w:rPr>
          <w:t xml:space="preserve">&lt;Go to ISI&gt;://A1996VN96900013</w:t>
        </w:r>
      </w:hyperlink>
    </w:p>
    <w:bookmarkEnd w:id="30"/>
    <w:bookmarkStart w:id="32"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31">
        <w:r>
          <w:rPr>
            <w:rStyle w:val="Hyperlink"/>
          </w:rPr>
          <w:t xml:space="preserve">https://doi.org/10.2307/1341787</w:t>
        </w:r>
      </w:hyperlink>
    </w:p>
    <w:bookmarkEnd w:id="32"/>
    <w:bookmarkStart w:id="34" w:name="ref-RN4422"/>
    <w:p>
      <w:pPr>
        <w:pStyle w:val="Bibliography"/>
      </w:pPr>
      <w:r>
        <w:t xml:space="preserve">McDonald, J. (2015). Organizational communication meets queer theory: Theorizing relations of "difference" differently.</w:t>
      </w:r>
      <w:r>
        <w:t xml:space="preserve"> </w:t>
      </w:r>
      <w:r>
        <w:rPr>
          <w:iCs/>
          <w:i/>
        </w:rPr>
        <w:t xml:space="preserve">Communication Theory</w:t>
      </w:r>
      <w:r>
        <w:t xml:space="preserve">,</w:t>
      </w:r>
      <w:r>
        <w:t xml:space="preserve"> </w:t>
      </w:r>
      <w:r>
        <w:rPr>
          <w:iCs/>
          <w:i/>
        </w:rPr>
        <w:t xml:space="preserve">25</w:t>
      </w:r>
      <w:r>
        <w:t xml:space="preserve">(3), 310–329.</w:t>
      </w:r>
      <w:r>
        <w:t xml:space="preserve"> </w:t>
      </w:r>
      <w:hyperlink r:id="rId33">
        <w:r>
          <w:rPr>
            <w:rStyle w:val="Hyperlink"/>
          </w:rPr>
          <w:t xml:space="preserve">https://doi.org/10.1111/comt.12060</w:t>
        </w:r>
      </w:hyperlink>
    </w:p>
    <w:bookmarkEnd w:id="34"/>
    <w:bookmarkStart w:id="35" w:name="ref-RN536"/>
    <w:p>
      <w:pPr>
        <w:pStyle w:val="Bibliography"/>
      </w:pPr>
      <w:r>
        <w:t xml:space="preserve">Tierney, W. G. (1988). Organizational culture in higher education: Defining the essentials.</w:t>
      </w:r>
      <w:r>
        <w:t xml:space="preserve"> </w:t>
      </w:r>
      <w:r>
        <w:rPr>
          <w:iCs/>
          <w:i/>
        </w:rPr>
        <w:t xml:space="preserve">The Journal of Higher Education</w:t>
      </w:r>
      <w:r>
        <w:t xml:space="preserve">,</w:t>
      </w:r>
      <w:r>
        <w:t xml:space="preserve"> </w:t>
      </w:r>
      <w:r>
        <w:rPr>
          <w:iCs/>
          <w:i/>
        </w:rPr>
        <w:t xml:space="preserve">59</w:t>
      </w:r>
      <w:r>
        <w:t xml:space="preserve">(1), 2–21.</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3" Target="https://doi.org/10.1111/comt.12060" TargetMode="External" /><Relationship Type="http://schemas.openxmlformats.org/officeDocument/2006/relationships/hyperlink" Id="rId31" Target="https://doi.org/10.2307/1341787" TargetMode="External" /><Relationship Type="http://schemas.openxmlformats.org/officeDocument/2006/relationships/hyperlink" Id="rId20" Target="https://ucla.app.box.com/f/187a4862e5174a0989eebda307d10d56" TargetMode="External" /></Relationships>
</file>

<file path=word/_rels/footnotes.xml.rels><?xml version="1.0" encoding="UTF-8"?><Relationships xmlns="http://schemas.openxmlformats.org/package/2006/relationships"><Relationship Type="http://schemas.openxmlformats.org/officeDocument/2006/relationships/hyperlink" Id="rId29"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3" Target="https://doi.org/10.1111/comt.12060" TargetMode="External" /><Relationship Type="http://schemas.openxmlformats.org/officeDocument/2006/relationships/hyperlink" Id="rId31" Target="https://doi.org/10.2307/1341787" TargetMode="External" /><Relationship Type="http://schemas.openxmlformats.org/officeDocument/2006/relationships/hyperlink" Id="rId20" Target="https://ucla.app.box.com/f/187a4862e5174a0989eebda307d10d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2023-06-06T19:30:38Z</dcterms:created>
  <dcterms:modified xsi:type="dcterms:W3CDTF">2023-06-06T19:30:38Z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2022</vt:lpwstr>
  </property>
  <property fmtid="{D5CDD505-2E9C-101B-9397-08002B2CF9AE}" pid="7" name="urlcolor">
    <vt:lpwstr>blue</vt:lpwstr>
  </property>
</Properties>
</file>