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NOTA JURÍDICA: PRECEDENTE DEL CONSEJO DE ESTADO SOBRE AUDITORÍA DE SOFTWARE ELECTORAL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Fecha: 5 de junio de 2026</w:t>
      </w:r>
    </w:p>
    <w:p w:rsidR="00000000" w:rsidDel="00000000" w:rsidP="00000000" w:rsidRDefault="00000000" w:rsidRPr="00000000" w14:paraId="00000006">
      <w:pPr>
        <w:rPr/>
      </w:pPr>
      <w:r w:rsidDel="00000000" w:rsidR="00000000" w:rsidRPr="00000000">
        <w:rPr>
          <w:rtl w:val="0"/>
        </w:rPr>
        <w:t xml:space="preserve">Elaborado por: Andrea Zabala Carcamo</w:t>
      </w:r>
    </w:p>
    <w:p w:rsidR="00000000" w:rsidDel="00000000" w:rsidP="00000000" w:rsidRDefault="00000000" w:rsidRPr="00000000" w14:paraId="00000007">
      <w:pPr>
        <w:rPr/>
      </w:pPr>
      <w:r w:rsidDel="00000000" w:rsidR="00000000" w:rsidRPr="00000000">
        <w:rPr>
          <w:rtl w:val="0"/>
        </w:rPr>
        <w:t xml:space="preserve">Para: Anexo a la Denuncia Penal - Caso Actas E-14 Consulado de Los Ángeles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EL PRECEDENTE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Consejo de Estado, máxima autoridad de la jurisdicción contencioso-administrativa en Colombia, emitió un fallo en el que ordenó a la Registraduría Nacional del Estado Civil y al Consejo Nacional Electoral (CNE) permitir la auditoría del software utilizado en los procesos de escrutinio electoral por parte de los partidos políticos y sus auditores técnicos.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 Misión de Observación Electoral (MOE) ha hecho eco de esta decisión, advirtiendo públicamente que "el fallo del Consejo de Estado debe preocupar a los auditores de software de los partidos políticos", señalando el riesgo de que las falencias técnicas del software comprometan la transparencia del escrutinio.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II. EL DESACATO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 acuerdo con información de dominio público y reportes de organizaciones de la sociedad civil, la Registraduría Nacional del Estado Civil y el CNE no habrían dado cumplimiento a la orden del Consejo de Estado durante aproximadamente ocho años, manteniendo el software de escrutinio como una "caja negra" inaccesible para los auditores de los partidos políticos y los organismos de control.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Este presunto desacato constituye: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Una violación directa de una orden judicial del máximo tribunal contencioso-administrativo.</w:t>
      </w:r>
    </w:p>
    <w:p w:rsidR="00000000" w:rsidDel="00000000" w:rsidP="00000000" w:rsidRDefault="00000000" w:rsidRPr="00000000" w14:paraId="0000001A">
      <w:pPr>
        <w:rPr/>
      </w:pPr>
      <w:r w:rsidDel="00000000" w:rsidR="00000000" w:rsidRPr="00000000">
        <w:rPr>
          <w:rtl w:val="0"/>
        </w:rPr>
        <w:t xml:space="preserve">2. Una operación sostenida de opacidad institucional sobre la arquitectura técnica del proceso electoral.</w:t>
      </w:r>
    </w:p>
    <w:p w:rsidR="00000000" w:rsidDel="00000000" w:rsidP="00000000" w:rsidRDefault="00000000" w:rsidRPr="00000000" w14:paraId="0000001B">
      <w:pPr>
        <w:rPr/>
      </w:pPr>
      <w:r w:rsidDel="00000000" w:rsidR="00000000" w:rsidRPr="00000000">
        <w:rPr>
          <w:rtl w:val="0"/>
        </w:rPr>
        <w:t xml:space="preserve">3. La privatización de facto de la fe pública electoral, delegada en contratistas sin supervisión técnica independiente.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III. CONEXIÓN CON LOS HALLAZGOS FORENSES DEL PRESENTE CASO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Los 10 hallazgos forenses documentados en las actas E-14 del Consulado de Los Ángeles constituyen la prueba material de las consecuencias del desacato.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Hallazgo Conexión con el precedente</w:t>
      </w:r>
    </w:p>
    <w:p w:rsidR="00000000" w:rsidDel="00000000" w:rsidP="00000000" w:rsidRDefault="00000000" w:rsidRPr="00000000" w14:paraId="00000024">
      <w:pPr>
        <w:rPr/>
      </w:pPr>
      <w:r w:rsidDel="00000000" w:rsidR="00000000" w:rsidRPr="00000000">
        <w:rPr>
          <w:rtl w:val="0"/>
        </w:rPr>
        <w:t xml:space="preserve">PDFs híbridos (color + B/N) El software mezcla formatos porque opera sin estándares auditables</w:t>
      </w:r>
    </w:p>
    <w:p w:rsidR="00000000" w:rsidDel="00000000" w:rsidP="00000000" w:rsidRDefault="00000000" w:rsidRPr="00000000" w14:paraId="00000025">
      <w:pPr>
        <w:rPr/>
      </w:pPr>
      <w:r w:rsidDel="00000000" w:rsidR="00000000" w:rsidRPr="00000000">
        <w:rPr>
          <w:rtl w:val="0"/>
        </w:rPr>
        <w:t xml:space="preserve">Errores de decodificación (100%) El software no cumple la especificación ISO 32000</w:t>
      </w:r>
    </w:p>
    <w:p w:rsidR="00000000" w:rsidDel="00000000" w:rsidP="00000000" w:rsidRDefault="00000000" w:rsidRPr="00000000" w14:paraId="00000026">
      <w:pPr>
        <w:rPr/>
      </w:pPr>
      <w:r w:rsidDel="00000000" w:rsidR="00000000" w:rsidRPr="00000000">
        <w:rPr>
          <w:rtl w:val="0"/>
        </w:rPr>
        <w:t xml:space="preserve">Objetos fantasma (100%) Dos plantillas defectuosas operando sin supervisión</w:t>
      </w:r>
    </w:p>
    <w:p w:rsidR="00000000" w:rsidDel="00000000" w:rsidP="00000000" w:rsidRDefault="00000000" w:rsidRPr="00000000" w14:paraId="00000027">
      <w:pPr>
        <w:rPr/>
      </w:pPr>
      <w:r w:rsidDel="00000000" w:rsidR="00000000" w:rsidRPr="00000000">
        <w:rPr>
          <w:rtl w:val="0"/>
        </w:rPr>
        <w:t xml:space="preserve">Páginas en blanco inyectadas Prueba de inserción de contenido espurio por software no auditado</w:t>
      </w:r>
    </w:p>
    <w:p w:rsidR="00000000" w:rsidDel="00000000" w:rsidP="00000000" w:rsidRDefault="00000000" w:rsidRPr="00000000" w14:paraId="00000028">
      <w:pPr>
        <w:rPr/>
      </w:pPr>
      <w:r w:rsidDel="00000000" w:rsidR="00000000" w:rsidRPr="00000000">
        <w:rPr>
          <w:rtl w:val="0"/>
        </w:rPr>
        <w:t xml:space="preserve">Metadatos eliminados (100%) Supresión deliberada de trazabilidad forense</w:t>
      </w:r>
    </w:p>
    <w:p w:rsidR="00000000" w:rsidDel="00000000" w:rsidP="00000000" w:rsidRDefault="00000000" w:rsidRPr="00000000" w14:paraId="00000029">
      <w:pPr>
        <w:rPr/>
      </w:pPr>
      <w:r w:rsidDel="00000000" w:rsidR="00000000" w:rsidRPr="00000000">
        <w:rPr>
          <w:rtl w:val="0"/>
        </w:rPr>
        <w:t xml:space="preserve">Modificación post-publicación (100%) Evidencia de manipulación continua sin control externo</w:t>
      </w:r>
    </w:p>
    <w:p w:rsidR="00000000" w:rsidDel="00000000" w:rsidP="00000000" w:rsidRDefault="00000000" w:rsidRPr="00000000" w14:paraId="0000002A">
      <w:pPr>
        <w:rPr/>
      </w:pPr>
      <w:r w:rsidDel="00000000" w:rsidR="00000000" w:rsidRPr="00000000">
        <w:rPr>
          <w:rtl w:val="0"/>
        </w:rPr>
        <w:t xml:space="preserve">Ausencia de QR (61%) Los elementos de seguridad del formulario fueron suprimidos</w:t>
      </w:r>
    </w:p>
    <w:p w:rsidR="00000000" w:rsidDel="00000000" w:rsidP="00000000" w:rsidRDefault="00000000" w:rsidRPr="00000000" w14:paraId="0000002B">
      <w:pPr>
        <w:rPr/>
      </w:pPr>
      <w:r w:rsidDel="00000000" w:rsidR="00000000" w:rsidRPr="00000000">
        <w:rPr>
          <w:rtl w:val="0"/>
        </w:rPr>
        <w:t xml:space="preserve">Planchado matemático Posible uso de algoritmos de asignación sin auditoría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 caja negra que el Consejo de Estado ordenó abrir produjo exactamente lo que produce un sistema sin supervisión: documentos públicos mutilados, elementos de seguridad suprimidos, y trazabilidad forense eliminada.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IV. IMPLICACIONES JURÍDICAS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4.1. Configuración del Dolo Institucional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Si se comprueba que la Registraduría y el CNE ignoraron deliberadamente una orden de la máxima corte administrativa para permitir la auditoría del software, la "incompetencia técnica" o la "inercia burocrática" dejan de ser coartadas viables.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El ocultamiento del código fuente y de la arquitectura de digitalización —que la presente denuncia ha desnudado mediante análisis forense independiente— no es un subproducto de un mal contrato. Es el resultado de un desacato institucional sostenido.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Mantener el software como una caja negra, en contra de una orden judicial, demuestra la intención deliberada de operar sin supervisión. Esto pavimenta el camino hacia la imputación de dolo institucional.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4.2. La Doctrina de los Actos Propios (Posible Defensa)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La defensa del Estado podría invocar la doctrina del venire contra factum proprium (prohibición de ir contra los actos propios), argumentando que los partidos políticos y los candidatos de oposición conocían el desacato desde hace años y, al participar en las elecciones de 2026, convalidaron tácitamente el proceso.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Contraargumento: Existe una diferencia jurídica fundamental entre convalidar un riesgo y consentir un resultado. Los partidos pudieron aceptar el riesgo de un sistema opaco; lo que no pudieron aceptar es que ese sistema produjera actas mutiladas con páginas en blanco inyectadas y códigos QR suprimidos. El riesgo era conocido; el daño es nuevo y está probado.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4.3. Crisis Constitucional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 conexión de la evidencia técnica de mutilación documental (10 hallazgos forenses) con la evidencia jurídica de opacidad sistémica (desacato al fallo del Consejo de Estado) trasciende el derecho penal electoral.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 caso revela que el Estado colombiano: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Privatizó la soberanía electoral, delegándola en un contratista.</w:t>
      </w:r>
    </w:p>
    <w:p w:rsidR="00000000" w:rsidDel="00000000" w:rsidP="00000000" w:rsidRDefault="00000000" w:rsidRPr="00000000" w14:paraId="00000048">
      <w:pPr>
        <w:rPr/>
      </w:pPr>
      <w:r w:rsidDel="00000000" w:rsidR="00000000" w:rsidRPr="00000000">
        <w:rPr>
          <w:rtl w:val="0"/>
        </w:rPr>
        <w:t xml:space="preserve">2. Otorgó el monopolio de la verdad digital a ese contratista.</w:t>
      </w:r>
    </w:p>
    <w:p w:rsidR="00000000" w:rsidDel="00000000" w:rsidP="00000000" w:rsidRDefault="00000000" w:rsidRPr="00000000" w14:paraId="00000049">
      <w:pPr>
        <w:rPr/>
      </w:pPr>
      <w:r w:rsidDel="00000000" w:rsidR="00000000" w:rsidRPr="00000000">
        <w:rPr>
          <w:rtl w:val="0"/>
        </w:rPr>
        <w:t xml:space="preserve">3. Protegió ese monopolio desacatando una orden judicial durante ocho años.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Las consecuencias de ese desacato son las páginas en blanco, los QR suprimidos y los metadatos borrados que esta denuncia ha documentado.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 PETICIÓN ESPECÍFICA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 fundamento en el precedente del Consejo de Estado y en los hallazgos forenses de la presente denuncia, se solicita respetuosamente: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Ordenar una auditoría forense integral del software de digitalización y ensamblaje de actas E-14 utilizado por la empresa contratista, con acceso al código fuente y a la configuración del sistema.</w:t>
      </w:r>
    </w:p>
    <w:p w:rsidR="00000000" w:rsidDel="00000000" w:rsidP="00000000" w:rsidRDefault="00000000" w:rsidRPr="00000000" w14:paraId="00000054">
      <w:pPr>
        <w:rPr/>
      </w:pPr>
      <w:r w:rsidDel="00000000" w:rsidR="00000000" w:rsidRPr="00000000">
        <w:rPr>
          <w:rtl w:val="0"/>
        </w:rPr>
        <w:t xml:space="preserve">2. Requerir a la Registraduría Nacional del Estado Civil que informe al despacho si ha dado cumplimiento al fallo del Consejo de Estado que ordena permitir la auditoría del software electoral, y en caso negativo, que explique las razones del desacato.</w:t>
      </w:r>
    </w:p>
    <w:p w:rsidR="00000000" w:rsidDel="00000000" w:rsidP="00000000" w:rsidRDefault="00000000" w:rsidRPr="00000000" w14:paraId="00000055">
      <w:pPr>
        <w:rPr/>
      </w:pPr>
      <w:r w:rsidDel="00000000" w:rsidR="00000000" w:rsidRPr="00000000">
        <w:rPr>
          <w:rtl w:val="0"/>
        </w:rPr>
        <w:t xml:space="preserve">3. Investigar si el presunto desacato al fallo del Consejo de Estado configura el delito de fraude a resolución judicial (Art. 454 del Código Penal) u otros delitos contra la administración pública.</w:t>
      </w:r>
    </w:p>
    <w:p w:rsidR="00000000" w:rsidDel="00000000" w:rsidP="00000000" w:rsidRDefault="00000000" w:rsidRPr="00000000" w14:paraId="00000056">
      <w:pPr>
        <w:rPr/>
      </w:pPr>
      <w:r w:rsidDel="00000000" w:rsidR="00000000" w:rsidRPr="00000000">
        <w:rPr>
          <w:rtl w:val="0"/>
        </w:rPr>
        <w:t xml:space="preserve">4. Exhortar a la Procuraduría General de la Nación para que inicie las investigaciones disciplinarias correspondientes contra los funcionarios responsables del presunto desacato.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VI. CONCLUSIÓN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La presente denuncia no es un caso aislado de fallas técnicas en un consulado. Es la prueba material de las consecuencias de haber ignorado a la justicia durante ocho años. El fallo del Consejo de Estado advirtió el riesgo; la MOE alertó sobre sus consecuencias; y ahora, en el Consulado de Los Ángeles, ese riesgo se ha materializado en actas mutiladas, páginas en blanco y códigos QR suprimidos.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La caja negra produjo exactamente lo que produce un sistema sin supervisión. Este expediente es el cuerpo del delito.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Firma: Andrea Zabala Carcamo</w:t>
      </w:r>
    </w:p>
    <w:p w:rsidR="00000000" w:rsidDel="00000000" w:rsidP="00000000" w:rsidRDefault="00000000" w:rsidRPr="00000000" w14:paraId="00000063">
      <w:pPr>
        <w:rPr/>
      </w:pPr>
      <w:r w:rsidDel="00000000" w:rsidR="00000000" w:rsidRPr="00000000">
        <w:rPr>
          <w:rtl w:val="0"/>
        </w:rPr>
        <w:t xml:space="preserve">Fecha: 5 de junio de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