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NOTA TÉCNICA: DESCARTE DE LA HIPÓTESIS DE CIBERATAQUE EXTERNO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La hipótesis de un ataque externo que alteró las capas ocultas de los PDFs no es compatible con el patrón documentado, por las siguientes razones técnicas: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Selectividad incompatible con ataque externo: Un atacante externo que logra acceso de escritura al servidor para modificar actas electorales tiene la capacidad de alterar la imagen visible, que es lo que cualquier persona puede ver. Limitarse a modificar capas ocultas que solo son detectables con herramientas forenses implica un conocimiento íntimo de la arquitectura del sistema y una intención de no ser detectado que es más compatible con un diseño deliberado que con una intrusión externa.</w:t>
      </w:r>
    </w:p>
    <w:p w:rsidR="00000000" w:rsidDel="00000000" w:rsidP="00000000" w:rsidRDefault="00000000" w:rsidRPr="00000000" w14:paraId="00000006">
      <w:pPr>
        <w:rPr/>
      </w:pPr>
      <w:r w:rsidDel="00000000" w:rsidR="00000000" w:rsidRPr="00000000">
        <w:rPr>
          <w:rtl w:val="0"/>
        </w:rPr>
        <w:t xml:space="preserve">2. Sistematicidad y automatización: Las anomalías (capas ocultas, páginas en blanco, errores de decodificación) aparecen en el 100% de los archivos analizados y presentan características estructurales consistentes. Un atacante externo no genera un patrón sistemático idéntico en 32 actas distintas. Una herramienta automatizada integrada en el flujo de trabajo del sistema, sí.</w:t>
      </w:r>
    </w:p>
    <w:p w:rsidR="00000000" w:rsidDel="00000000" w:rsidP="00000000" w:rsidRDefault="00000000" w:rsidRPr="00000000" w14:paraId="00000007">
      <w:pPr>
        <w:rPr/>
      </w:pPr>
      <w:r w:rsidDel="00000000" w:rsidR="00000000" w:rsidRPr="00000000">
        <w:rPr>
          <w:rtl w:val="0"/>
        </w:rPr>
        <w:t xml:space="preserve">3. Falta de denuncia previa de la entidad: Si la Registraduría alega haber sido víctima de un ciberataque que alteró los documentos electorales oficiales, deberá exhibir la denuncia penal que interpuso en su momento, los registros de incidentes de seguridad, los informes de respuesta a incidentes y las medidas correctivas implementadas. La ausencia de dicha denuncia previa convierte su alegación en una defensa sobreviniente sin respaldo probatorio.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En virtud de lo anterior, se solicita al señor Fiscal que, si la Registraduría o el contratista alegan la hipótesis de ciberataque externo, se les requieran los siguientes documentos bajo juramento: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Copia de la denuncia penal interpuesta por el supuesto hackeo.</w:t>
      </w:r>
    </w:p>
    <w:p w:rsidR="00000000" w:rsidDel="00000000" w:rsidP="00000000" w:rsidRDefault="00000000" w:rsidRPr="00000000" w14:paraId="0000000C">
      <w:pPr>
        <w:rPr/>
      </w:pPr>
      <w:r w:rsidDel="00000000" w:rsidR="00000000" w:rsidRPr="00000000">
        <w:rPr>
          <w:rtl w:val="0"/>
        </w:rPr>
        <w:t xml:space="preserve">· Registros de incidentes de seguridad (logs de intrusión, alertas del SIEM, informes del CSIRT).</w:t>
      </w:r>
    </w:p>
    <w:p w:rsidR="00000000" w:rsidDel="00000000" w:rsidP="00000000" w:rsidRDefault="00000000" w:rsidRPr="00000000" w14:paraId="0000000D">
      <w:pPr>
        <w:rPr/>
      </w:pPr>
      <w:r w:rsidDel="00000000" w:rsidR="00000000" w:rsidRPr="00000000">
        <w:rPr>
          <w:rtl w:val="0"/>
        </w:rPr>
        <w:t xml:space="preserve">· Informes de respuesta a incidentes y medidas correctivas.</w:t>
      </w:r>
    </w:p>
    <w:p w:rsidR="00000000" w:rsidDel="00000000" w:rsidP="00000000" w:rsidRDefault="00000000" w:rsidRPr="00000000" w14:paraId="0000000E">
      <w:pPr>
        <w:rPr/>
      </w:pPr>
      <w:r w:rsidDel="00000000" w:rsidR="00000000" w:rsidRPr="00000000">
        <w:rPr>
          <w:rtl w:val="0"/>
        </w:rPr>
        <w:t xml:space="preserve">· Cadena de custodia de la evidencia del supuesto ataque.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La no presentación de dichos documentos constituirá un indicio grave de que la alegación es una defensa fabricada para desviar la investigación.</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