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b49e03bcbfeb46b5" /></Relationships>
</file>

<file path=word/document.xml><?xml version="1.0" encoding="utf-8"?>
<w:document xmlns:w="http://schemas.openxmlformats.org/wordprocessingml/2006/main">
  <w:body>
    <w:p>
      <w:pPr>
        <w:spacing w:before="480" w:after="240"/>
        <w:jc w:val="center"/>
      </w:pPr>
      <w:r>
        <w:rPr>
          <w:sz w:val="56"/>
          <w:color w:val="2E8B8B"/>
          <w:b/>
        </w:rPr>
        <w:t>◆</w:t>
      </w:r>
    </w:p>
    <w:p>
      <w:pPr>
        <w:spacing w:after="120"/>
        <w:jc w:val="center"/>
      </w:pPr>
      <w:r>
        <w:rPr>
          <w:sz w:val="22"/>
          <w:color w:val="595959"/>
          <w:b/>
          <w:spacing w:val="40"/>
        </w:rPr>
        <w:t>MC CONSULTORÍAS &amp; CAPACITACIÓN S.A.S.</w:t>
      </w:r>
    </w:p>
    <w:p>
      <w:pPr>
        <w:spacing w:before="0" w:after="120"/>
        <w:jc w:val="center"/>
      </w:pPr>
      <w:r>
        <w:rPr>
          <w:sz w:val="48"/>
          <w:color w:val="1F3A5F"/>
          <w:b/>
        </w:rPr>
        <w:t>Anexo 4</w:t>
      </w:r>
    </w:p>
    <w:p>
      <w:pPr>
        <w:spacing w:before="120" w:after="240"/>
        <w:jc w:val="center"/>
      </w:pPr>
      <w:r>
        <w:rPr>
          <w:sz w:val="32"/>
          <w:color w:val="2E8B8B"/>
          <w:i/>
        </w:rPr>
        <w:t>Bitácora de cambios y despliegues del repositorio</w:t>
      </w:r>
    </w:p>
    <w:p>
      <w:pPr>
        <w:spacing w:after="360"/>
        <w:jc w:val="center"/>
      </w:pPr>
      <w:r>
        <w:rPr>
          <w:sz w:val="24"/>
          <w:color w:val="333333"/>
        </w:rPr>
        <w:t>Soporte técnico de la cláusula 3.2 — Contrato UTL:001</w:t>
      </w:r>
    </w:p>
    <w:tbl>
      <w:tblPr>
        <w:tblW w:w="5000" w:type="pct"/>
        <w:tblBorders>
          <w:top w:val="single" w:color="2E8B8B" w:sz="8" w:space="0"/>
          <w:bottom w:val="single" w:color="2E8B8B" w:sz="8" w:space="0"/>
          <w:left w:val="none" w:color="auto" w:sz="0" w:space="0"/>
          <w:right w:val="none" w:color="auto" w:sz="0" w:space="0"/>
          <w:insideH w:val="single" w:color="D9D9D9" w:sz="4" w:space="0"/>
          <w:insideV w:val="none" w:color="auto" w:sz="0" w:space="0"/>
        </w:tblBorders>
        <w:tblCellMar>
          <w:top w:w="80" w:type="dxa"/>
          <w:start w:w="120" w:type="dxa"/>
          <w:bottom w:w="80" w:type="dxa"/>
          <w:end w:w="120" w:type="dxa"/>
        </w:tblCellMar>
      </w:tblPr>
      <w:tblGrid>
        <w:gridCol w:w="2700"/>
        <w:gridCol w:w="6326"/>
      </w:tblGrid>
      <w:tr>
        <w:tc>
          <w:tcPr>
            <w:tcW w:w="2700" w:type="dxa"/>
          </w:tcPr>
          <w:p>
            <w:pPr>
              <w:spacing w:after="0"/>
            </w:pPr>
            <w:r>
              <w:rPr>
                <w:b/>
                <w:color w:val="1F3A5F"/>
              </w:rPr>
              <w:t>Documento</w:t>
            </w:r>
          </w:p>
        </w:tc>
        <w:tc>
          <w:tcPr>
            <w:tcW w:w="6326" w:type="dxa"/>
          </w:tcPr>
          <w:p>
            <w:pPr>
              <w:spacing w:after="0"/>
            </w:pPr>
            <w:r>
              <w:t>Anexo 4 — Bitácora de cambios y despliegues</w:t>
            </w:r>
          </w:p>
        </w:tc>
      </w:tr>
      <w:tr>
        <w:tc>
          <w:tcPr>
            <w:tcW w:w="2700" w:type="dxa"/>
            <w:shd w:val="clear" w:color="auto" w:fill="F8FAFC"/>
          </w:tcPr>
          <w:p>
            <w:pPr>
              <w:spacing w:after="0"/>
            </w:pPr>
            <w:r>
              <w:rPr>
                <w:b/>
                <w:color w:val="1F3A5F"/>
              </w:rPr>
              <w:t>Contrato</w:t>
            </w:r>
          </w:p>
        </w:tc>
        <w:tc>
          <w:tcPr>
            <w:tcW w:w="6326" w:type="dxa"/>
            <w:shd w:val="clear" w:color="auto" w:fill="F8FAFC"/>
          </w:tcPr>
          <w:p>
            <w:pPr>
              <w:spacing w:after="0"/>
            </w:pPr>
            <w:r>
              <w:t>UTL:001</w:t>
            </w:r>
          </w:p>
        </w:tc>
      </w:tr>
      <w:tr>
        <w:tc>
          <w:tcPr>
            <w:tcW w:w="2700" w:type="dxa"/>
          </w:tcPr>
          <w:p>
            <w:pPr>
              <w:spacing w:after="0"/>
            </w:pPr>
            <w:r>
              <w:rPr>
                <w:b/>
                <w:color w:val="1F3A5F"/>
              </w:rPr>
              <w:t>Soporta</w:t>
            </w:r>
          </w:p>
        </w:tc>
        <w:tc>
          <w:tcPr>
            <w:tcW w:w="6326" w:type="dxa"/>
          </w:tcPr>
          <w:p>
            <w:pPr>
              <w:spacing w:after="0"/>
            </w:pPr>
            <w:r>
              <w:t>Solicitud de desembolso — Cláusula 3.2</w:t>
            </w:r>
          </w:p>
        </w:tc>
      </w:tr>
      <w:tr>
        <w:tc>
          <w:tcPr>
            <w:tcW w:w="2700" w:type="dxa"/>
            <w:shd w:val="clear" w:color="auto" w:fill="F8FAFC"/>
          </w:tcPr>
          <w:p>
            <w:pPr>
              <w:spacing w:after="0"/>
            </w:pPr>
            <w:r>
              <w:rPr>
                <w:b/>
                <w:color w:val="1F3A5F"/>
              </w:rPr>
              <w:t>Total de commits</w:t>
            </w:r>
          </w:p>
        </w:tc>
        <w:tc>
          <w:tcPr>
            <w:tcW w:w="6326" w:type="dxa"/>
            <w:shd w:val="clear" w:color="auto" w:fill="F8FAFC"/>
          </w:tcPr>
          <w:p>
            <w:pPr>
              <w:spacing w:after="0"/>
            </w:pPr>
            <w:r>
              <w:t>23 (31-may-2026 → 19-jun-2026)</w:t>
            </w:r>
          </w:p>
        </w:tc>
      </w:tr>
      <w:tr>
        <w:tc>
          <w:tcPr>
            <w:tcW w:w="2700" w:type="dxa"/>
          </w:tcPr>
          <w:p>
            <w:pPr>
              <w:spacing w:after="0"/>
            </w:pPr>
            <w:r>
              <w:rPr>
                <w:b/>
                <w:color w:val="1F3A5F"/>
              </w:rPr>
              <w:t>Convención</w:t>
            </w:r>
          </w:p>
        </w:tc>
        <w:tc>
          <w:tcPr>
            <w:tcW w:w="6326" w:type="dxa"/>
          </w:tcPr>
          <w:p>
            <w:pPr>
              <w:spacing w:after="0"/>
            </w:pPr>
            <w:r>
              <w:t>Conventional Commits (feat / fix / chore / docs / docs+data)</w:t>
            </w:r>
          </w:p>
        </w:tc>
      </w:tr>
      <w:tr>
        <w:tc>
          <w:tcPr>
            <w:tcW w:w="2700" w:type="dxa"/>
            <w:shd w:val="clear" w:color="auto" w:fill="F8FAFC"/>
          </w:tcPr>
          <w:p>
            <w:pPr>
              <w:spacing w:after="0"/>
            </w:pPr>
            <w:r>
              <w:rPr>
                <w:b/>
                <w:color w:val="1F3A5F"/>
              </w:rPr>
              <w:t>Herramienta</w:t>
            </w:r>
          </w:p>
        </w:tc>
        <w:tc>
          <w:tcPr>
            <w:tcW w:w="6326" w:type="dxa"/>
            <w:shd w:val="clear" w:color="auto" w:fill="F8FAFC"/>
          </w:tcPr>
          <w:p>
            <w:pPr>
              <w:spacing w:after="0"/>
            </w:pPr>
            <w:r>
              <w:t>git log --pretty=format:'%h | %ad | %s' --date=short</w:t>
            </w:r>
          </w:p>
        </w:tc>
      </w:tr>
      <w:tr>
        <w:tc>
          <w:tcPr>
            <w:tcW w:w="2700" w:type="dxa"/>
          </w:tcPr>
          <w:p>
            <w:pPr>
              <w:spacing w:after="0"/>
            </w:pPr>
            <w:r>
              <w:rPr>
                <w:b/>
                <w:color w:val="1F3A5F"/>
              </w:rPr>
              <w:t>Plataforma desplegada</w:t>
            </w:r>
          </w:p>
        </w:tc>
        <w:tc>
          <w:tcPr>
            <w:tcW w:w="6326" w:type="dxa"/>
          </w:tcPr>
          <w:p>
            <w:pPr>
              <w:spacing w:after="0"/>
            </w:pPr>
            <w:r>
              <w:t>geodatabase.mcconsultorias.com.co</w:t>
            </w:r>
          </w:p>
        </w:tc>
      </w:tr>
      <w:tr>
        <w:tc>
          <w:tcPr>
            <w:tcW w:w="2700" w:type="dxa"/>
            <w:shd w:val="clear" w:color="auto" w:fill="F8FAFC"/>
          </w:tcPr>
          <w:p>
            <w:pPr>
              <w:spacing w:after="0"/>
            </w:pPr>
            <w:r>
              <w:rPr>
                <w:b/>
                <w:color w:val="1F3A5F"/>
              </w:rPr>
              <w:t>Fecha de la bitácora</w:t>
            </w:r>
          </w:p>
        </w:tc>
        <w:tc>
          <w:tcPr>
            <w:tcW w:w="6326" w:type="dxa"/>
            <w:shd w:val="clear" w:color="auto" w:fill="F8FAFC"/>
          </w:tcPr>
          <w:p>
            <w:pPr>
              <w:spacing w:after="0"/>
            </w:pPr>
            <w:r>
              <w:t>24 de junio de 2026</w:t>
            </w:r>
          </w:p>
        </w:tc>
      </w:tr>
    </w:tbl>
    <w:p>
      <w:pPr>
        <w:spacing w:before="720"/>
        <w:jc w:val="center"/>
      </w:pPr>
      <w:r>
        <w:rPr>
          <w:sz w:val="24"/>
          <w:color w:val="1F3A5F"/>
          <w:b/>
        </w:rPr>
        <w:t>Junio · 2026</w:t>
      </w:r>
    </w:p>
    <w:p>
      <w:r>
        <w:br w:type="page"/>
      </w:r>
    </w:p>
    <w:p>
      <w:pPr>
        <w:pStyle w:val="Heading1"/>
      </w:pPr>
      <w:r>
        <w:t>1. Introducción</w:t>
      </w:r>
    </w:p>
    <w:p>
      <w:pPr/>
      <w:r>
        <w:rPr/>
        <w:t xml:space="preserve">El presente anexo reporta la bitácora de cambios del repositorio del proyecto, desde el commit inicial hasta la fecha de este informe (24 de junio de 2026). La bitácora se extrae directamente del historial de Git con `git log --pretty=format:'%h | %ad | %s' --date=short` y se complementa con descripciones técnicas de los cambios más relevantes para la comprensión del avance del contrato.</w:t>
      </w:r>
    </w:p>
    <w:p>
      <w:pPr/>
      <w:r>
        <w:rPr>
          <w:i/>
        </w:rPr>
        <w:t xml:space="preserve">Este documento constituye el Anexo 4 de la Solicitud de Desembolso de la cláusula 3.2 del Contrato UTL:001 y complementa el Anexo 1 (Informe Técnico de Avance) y el Anexo 3 (Reporte del estado real de la Geodatabase).</w:t>
      </w:r>
    </w:p>
    <w:p>
      <w:pPr>
        <w:pStyle w:val="Heading2"/>
      </w:pPr>
      <w:r>
        <w:t>1.1. Estadísticas del repositorio</w:t>
      </w:r>
    </w:p>
    <w:tbl>
      <w:tblPr>
        <w:tblW w:w="5000" w:type="pct"/>
        <w:tblBorders>
          <w:top w:val="single" w:color="1F3A5F" w:sz="8" w:space="0"/>
          <w:bottom w:val="single" w:color="1F3A5F" w:sz="8" w:space="0"/>
          <w:left w:val="none" w:color="auto" w:sz="0" w:space="0"/>
          <w:right w:val="none" w:color="auto" w:sz="0" w:space="0"/>
          <w:insideH w:val="single" w:color="D9D9D9" w:sz="4" w:space="0"/>
          <w:insideV w:val="none" w:color="auto" w:sz="0" w:space="0"/>
        </w:tblBorders>
        <w:tblCellMar>
          <w:top w:w="40" w:type="dxa"/>
          <w:start w:w="80" w:type="dxa"/>
          <w:bottom w:w="40" w:type="dxa"/>
          <w:end w:w="80" w:type="dxa"/>
        </w:tblCellMar>
      </w:tblPr>
      <w:tblGrid>
        <w:gridCol w:w="3008"/>
        <w:gridCol w:w="3008"/>
        <w:gridCol w:w="3008"/>
      </w:tblGrid>
      <w:tr>
        <w:tc>
          <w:tcPr>
            <w:tcW w:w="0" w:type="auto"/>
            <w:shd w:val="clear" w:color="auto" w:fill="1F3A5F"/>
            <w:tcBorders>
              <w:bottom w:val="single" w:color="1F3A5F" w:sz="8" w:space="0"/>
            </w:tcBorders>
          </w:tcPr>
          <w:p>
            <w:pPr>
              <w:spacing w:after="0"/>
            </w:pPr>
            <w:r>
              <w:rPr>
                <w:b/>
                <w:color w:val="FFFFFF"/>
                <w:sz w:val="20"/>
              </w:rPr>
              <w:t>Tipo</w:t>
            </w:r>
          </w:p>
        </w:tc>
        <w:tc>
          <w:tcPr>
            <w:tcW w:w="0" w:type="auto"/>
            <w:shd w:val="clear" w:color="auto" w:fill="1F3A5F"/>
            <w:tcBorders>
              <w:bottom w:val="single" w:color="1F3A5F" w:sz="8" w:space="0"/>
            </w:tcBorders>
          </w:tcPr>
          <w:p>
            <w:pPr>
              <w:spacing w:after="0"/>
            </w:pPr>
            <w:r>
              <w:rPr>
                <w:b/>
                <w:color w:val="FFFFFF"/>
                <w:sz w:val="20"/>
              </w:rPr>
              <w:t>Conteo</w:t>
            </w:r>
          </w:p>
        </w:tc>
        <w:tc>
          <w:tcPr>
            <w:tcW w:w="0" w:type="auto"/>
            <w:shd w:val="clear" w:color="auto" w:fill="1F3A5F"/>
            <w:tcBorders>
              <w:bottom w:val="single" w:color="1F3A5F" w:sz="8" w:space="0"/>
            </w:tcBorders>
          </w:tcPr>
          <w:p>
            <w:pPr>
              <w:spacing w:after="0"/>
            </w:pPr>
            <w:r>
              <w:rPr>
                <w:b/>
                <w:color w:val="FFFFFF"/>
                <w:sz w:val="20"/>
              </w:rPr>
              <w:t>Descripción</w:t>
            </w:r>
          </w:p>
        </w:tc>
      </w:tr>
      <w:tr>
        <w:tc>
          <w:tcPr>
            <w:tcW w:w="0" w:type="auto"/>
          </w:tcPr>
          <w:p>
            <w:pPr>
              <w:spacing w:after="0"/>
            </w:pPr>
            <w:r>
              <w:t xml:space="preserve">feat</w:t>
            </w:r>
          </w:p>
        </w:tc>
        <w:tc>
          <w:tcPr>
            <w:tcW w:w="0" w:type="auto"/>
          </w:tcPr>
          <w:p>
            <w:pPr>
              <w:spacing w:after="0"/>
            </w:pPr>
            <w:r>
              <w:t xml:space="preserve">16</w:t>
            </w:r>
          </w:p>
        </w:tc>
        <w:tc>
          <w:tcPr>
            <w:tcW w:w="0" w:type="auto"/>
          </w:tcPr>
          <w:p>
            <w:pPr>
              <w:spacing w:after="0"/>
            </w:pPr>
            <w:r>
              <w:t xml:space="preserve">Nueva funcionalidad o capacidad</w:t>
            </w:r>
          </w:p>
        </w:tc>
      </w:tr>
      <w:tr>
        <w:tc>
          <w:tcPr>
            <w:tcW w:w="0" w:type="auto"/>
            <w:shd w:val="clear" w:color="auto" w:fill="F8FAFC"/>
          </w:tcPr>
          <w:p>
            <w:pPr>
              <w:spacing w:after="0"/>
            </w:pPr>
            <w:r>
              <w:t xml:space="preserve">docs</w:t>
            </w:r>
          </w:p>
        </w:tc>
        <w:tc>
          <w:tcPr>
            <w:tcW w:w="0" w:type="auto"/>
            <w:shd w:val="clear" w:color="auto" w:fill="F8FAFC"/>
          </w:tcPr>
          <w:p>
            <w:pPr>
              <w:spacing w:after="0"/>
            </w:pPr>
            <w:r>
              <w:t xml:space="preserve">3</w:t>
            </w:r>
          </w:p>
        </w:tc>
        <w:tc>
          <w:tcPr>
            <w:tcW w:w="0" w:type="auto"/>
            <w:shd w:val="clear" w:color="auto" w:fill="F8FAFC"/>
          </w:tcPr>
          <w:p>
            <w:pPr>
              <w:spacing w:after="0"/>
            </w:pPr>
            <w:r>
              <w:t xml:space="preserve">Cambio de documentación</w:t>
            </w:r>
          </w:p>
        </w:tc>
      </w:tr>
      <w:tr>
        <w:tc>
          <w:tcPr>
            <w:tcW w:w="0" w:type="auto"/>
          </w:tcPr>
          <w:p>
            <w:pPr>
              <w:spacing w:after="0"/>
            </w:pPr>
            <w:r>
              <w:t xml:space="preserve">chore</w:t>
            </w:r>
          </w:p>
        </w:tc>
        <w:tc>
          <w:tcPr>
            <w:tcW w:w="0" w:type="auto"/>
          </w:tcPr>
          <w:p>
            <w:pPr>
              <w:spacing w:after="0"/>
            </w:pPr>
            <w:r>
              <w:t xml:space="preserve">2</w:t>
            </w:r>
          </w:p>
        </w:tc>
        <w:tc>
          <w:tcPr>
            <w:tcW w:w="0" w:type="auto"/>
          </w:tcPr>
          <w:p>
            <w:pPr>
              <w:spacing w:after="0"/>
            </w:pPr>
            <w:r>
              <w:t xml:space="preserve">Tarea de mantenimiento o configuración</w:t>
            </w:r>
          </w:p>
        </w:tc>
      </w:tr>
      <w:tr>
        <w:tc>
          <w:tcPr>
            <w:tcW w:w="0" w:type="auto"/>
            <w:shd w:val="clear" w:color="auto" w:fill="F8FAFC"/>
          </w:tcPr>
          <w:p>
            <w:pPr>
              <w:spacing w:after="0"/>
            </w:pPr>
            <w:r>
              <w:t xml:space="preserve">fix</w:t>
            </w:r>
          </w:p>
        </w:tc>
        <w:tc>
          <w:tcPr>
            <w:tcW w:w="0" w:type="auto"/>
            <w:shd w:val="clear" w:color="auto" w:fill="F8FAFC"/>
          </w:tcPr>
          <w:p>
            <w:pPr>
              <w:spacing w:after="0"/>
            </w:pPr>
            <w:r>
              <w:t xml:space="preserve">1</w:t>
            </w:r>
          </w:p>
        </w:tc>
        <w:tc>
          <w:tcPr>
            <w:tcW w:w="0" w:type="auto"/>
            <w:shd w:val="clear" w:color="auto" w:fill="F8FAFC"/>
          </w:tcPr>
          <w:p>
            <w:pPr>
              <w:spacing w:after="0"/>
            </w:pPr>
            <w:r>
              <w:t xml:space="preserve">Corrección de un defecto</w:t>
            </w:r>
          </w:p>
        </w:tc>
      </w:tr>
      <w:tr>
        <w:tc>
          <w:tcPr>
            <w:tcW w:w="0" w:type="auto"/>
          </w:tcPr>
          <w:p>
            <w:pPr>
              <w:spacing w:after="0"/>
            </w:pPr>
            <w:r>
              <w:t xml:space="preserve">docs+data</w:t>
            </w:r>
          </w:p>
        </w:tc>
        <w:tc>
          <w:tcPr>
            <w:tcW w:w="0" w:type="auto"/>
          </w:tcPr>
          <w:p>
            <w:pPr>
              <w:spacing w:after="0"/>
            </w:pPr>
            <w:r>
              <w:t xml:space="preserve">1</w:t>
            </w:r>
          </w:p>
        </w:tc>
        <w:tc>
          <w:tcPr>
            <w:tcW w:w="0" w:type="auto"/>
          </w:tcPr>
          <w:p>
            <w:pPr>
              <w:spacing w:after="0"/>
            </w:pPr>
            <w:r>
              <w:t xml:space="preserve">Documentación + ajuste de datos</w:t>
            </w:r>
          </w:p>
        </w:tc>
      </w:tr>
    </w:tbl>
    <w:tbl>
      <w:tblPr>
        <w:tblW w:w="5000" w:type="pct"/>
        <w:tblBorders>
          <w:top w:val="single" w:color="1F3A5F" w:sz="8" w:space="0"/>
          <w:bottom w:val="single" w:color="1F3A5F" w:sz="8" w:space="0"/>
          <w:left w:val="none" w:color="auto" w:sz="0" w:space="0"/>
          <w:right w:val="none" w:color="auto" w:sz="0" w:space="0"/>
          <w:insideH w:val="single" w:color="D9D9D9" w:sz="4" w:space="0"/>
          <w:insideV w:val="none" w:color="auto" w:sz="0" w:space="0"/>
        </w:tblBorders>
        <w:tblCellMar>
          <w:top w:w="40" w:type="dxa"/>
          <w:start w:w="80" w:type="dxa"/>
          <w:bottom w:w="40" w:type="dxa"/>
          <w:end w:w="80" w:type="dxa"/>
        </w:tblCellMar>
      </w:tblPr>
      <w:tblGrid>
        <w:gridCol w:w="4513"/>
        <w:gridCol w:w="4513"/>
      </w:tblGrid>
      <w:tr>
        <w:tc>
          <w:tcPr>
            <w:tcW w:w="0" w:type="auto"/>
            <w:shd w:val="clear" w:color="auto" w:fill="1F3A5F"/>
            <w:tcBorders>
              <w:bottom w:val="single" w:color="1F3A5F" w:sz="8" w:space="0"/>
            </w:tcBorders>
          </w:tcPr>
          <w:p>
            <w:pPr>
              <w:spacing w:after="0"/>
            </w:pPr>
            <w:r>
              <w:rPr>
                <w:b/>
                <w:color w:val="FFFFFF"/>
                <w:sz w:val="20"/>
              </w:rPr>
              <w:t>Scope</w:t>
            </w:r>
          </w:p>
        </w:tc>
        <w:tc>
          <w:tcPr>
            <w:tcW w:w="0" w:type="auto"/>
            <w:shd w:val="clear" w:color="auto" w:fill="1F3A5F"/>
            <w:tcBorders>
              <w:bottom w:val="single" w:color="1F3A5F" w:sz="8" w:space="0"/>
            </w:tcBorders>
          </w:tcPr>
          <w:p>
            <w:pPr>
              <w:spacing w:after="0"/>
            </w:pPr>
            <w:r>
              <w:rPr>
                <w:b/>
                <w:color w:val="FFFFFF"/>
                <w:sz w:val="20"/>
              </w:rPr>
              <w:t>Conteo</w:t>
            </w:r>
          </w:p>
        </w:tc>
      </w:tr>
      <w:tr>
        <w:tc>
          <w:tcPr>
            <w:tcW w:w="0" w:type="auto"/>
          </w:tcPr>
          <w:p>
            <w:pPr>
              <w:spacing w:after="0"/>
            </w:pPr>
            <w:r>
              <w:t xml:space="preserve">docs</w:t>
            </w:r>
          </w:p>
        </w:tc>
        <w:tc>
          <w:tcPr>
            <w:tcW w:w="0" w:type="auto"/>
          </w:tcPr>
          <w:p>
            <w:pPr>
              <w:spacing w:after="0"/>
            </w:pPr>
            <w:r>
              <w:t xml:space="preserve">4</w:t>
            </w:r>
          </w:p>
        </w:tc>
      </w:tr>
      <w:tr>
        <w:tc>
          <w:tcPr>
            <w:tcW w:w="0" w:type="auto"/>
            <w:shd w:val="clear" w:color="auto" w:fill="F8FAFC"/>
          </w:tcPr>
          <w:p>
            <w:pPr>
              <w:spacing w:after="0"/>
            </w:pPr>
            <w:r>
              <w:t xml:space="preserve">landing</w:t>
            </w:r>
          </w:p>
        </w:tc>
        <w:tc>
          <w:tcPr>
            <w:tcW w:w="0" w:type="auto"/>
            <w:shd w:val="clear" w:color="auto" w:fill="F8FAFC"/>
          </w:tcPr>
          <w:p>
            <w:pPr>
              <w:spacing w:after="0"/>
            </w:pPr>
            <w:r>
              <w:t xml:space="preserve">3</w:t>
            </w:r>
          </w:p>
        </w:tc>
      </w:tr>
      <w:tr>
        <w:tc>
          <w:tcPr>
            <w:tcW w:w="0" w:type="auto"/>
          </w:tcPr>
          <w:p>
            <w:pPr>
              <w:spacing w:after="0"/>
            </w:pPr>
            <w:r>
              <w:t xml:space="preserve">infra</w:t>
            </w:r>
          </w:p>
        </w:tc>
        <w:tc>
          <w:tcPr>
            <w:tcW w:w="0" w:type="auto"/>
          </w:tcPr>
          <w:p>
            <w:pPr>
              <w:spacing w:after="0"/>
            </w:pPr>
            <w:r>
              <w:t xml:space="preserve">2</w:t>
            </w:r>
          </w:p>
        </w:tc>
      </w:tr>
      <w:tr>
        <w:tc>
          <w:tcPr>
            <w:tcW w:w="0" w:type="auto"/>
            <w:shd w:val="clear" w:color="auto" w:fill="F8FAFC"/>
          </w:tcPr>
          <w:p>
            <w:pPr>
              <w:spacing w:after="0"/>
            </w:pPr>
            <w:r>
              <w:t xml:space="preserve">datos</w:t>
            </w:r>
          </w:p>
        </w:tc>
        <w:tc>
          <w:tcPr>
            <w:tcW w:w="0" w:type="auto"/>
            <w:shd w:val="clear" w:color="auto" w:fill="F8FAFC"/>
          </w:tcPr>
          <w:p>
            <w:pPr>
              <w:spacing w:after="0"/>
            </w:pPr>
            <w:r>
              <w:t xml:space="preserve">2</w:t>
            </w:r>
          </w:p>
        </w:tc>
      </w:tr>
      <w:tr>
        <w:tc>
          <w:tcPr>
            <w:tcW w:w="0" w:type="auto"/>
          </w:tcPr>
          <w:p>
            <w:pPr>
              <w:spacing w:after="0"/>
            </w:pPr>
            <w:r>
              <w:t xml:space="preserve">geovisor</w:t>
            </w:r>
          </w:p>
        </w:tc>
        <w:tc>
          <w:tcPr>
            <w:tcW w:w="0" w:type="auto"/>
          </w:tcPr>
          <w:p>
            <w:pPr>
              <w:spacing w:after="0"/>
            </w:pPr>
            <w:r>
              <w:t xml:space="preserve">2</w:t>
            </w:r>
          </w:p>
        </w:tc>
      </w:tr>
      <w:tr>
        <w:tc>
          <w:tcPr>
            <w:tcW w:w="0" w:type="auto"/>
            <w:shd w:val="clear" w:color="auto" w:fill="F8FAFC"/>
          </w:tcPr>
          <w:p>
            <w:pPr>
              <w:spacing w:after="0"/>
            </w:pPr>
            <w:r>
              <w:t xml:space="preserve">frontend</w:t>
            </w:r>
          </w:p>
        </w:tc>
        <w:tc>
          <w:tcPr>
            <w:tcW w:w="0" w:type="auto"/>
            <w:shd w:val="clear" w:color="auto" w:fill="F8FAFC"/>
          </w:tcPr>
          <w:p>
            <w:pPr>
              <w:spacing w:after="0"/>
            </w:pPr>
            <w:r>
              <w:t xml:space="preserve">2</w:t>
            </w:r>
          </w:p>
        </w:tc>
      </w:tr>
      <w:tr>
        <w:tc>
          <w:tcPr>
            <w:tcW w:w="0" w:type="auto"/>
          </w:tcPr>
          <w:p>
            <w:pPr>
              <w:spacing w:after="0"/>
            </w:pPr>
            <w:r>
              <w:t xml:space="preserve">responsive</w:t>
            </w:r>
          </w:p>
        </w:tc>
        <w:tc>
          <w:tcPr>
            <w:tcW w:w="0" w:type="auto"/>
          </w:tcPr>
          <w:p>
            <w:pPr>
              <w:spacing w:after="0"/>
            </w:pPr>
            <w:r>
              <w:t xml:space="preserve">1</w:t>
            </w:r>
          </w:p>
        </w:tc>
      </w:tr>
      <w:tr>
        <w:tc>
          <w:tcPr>
            <w:tcW w:w="0" w:type="auto"/>
            <w:shd w:val="clear" w:color="auto" w:fill="F8FAFC"/>
          </w:tcPr>
          <w:p>
            <w:pPr>
              <w:spacing w:after="0"/>
            </w:pPr>
            <w:r>
              <w:t xml:space="preserve">marca</w:t>
            </w:r>
          </w:p>
        </w:tc>
        <w:tc>
          <w:tcPr>
            <w:tcW w:w="0" w:type="auto"/>
            <w:shd w:val="clear" w:color="auto" w:fill="F8FAFC"/>
          </w:tcPr>
          <w:p>
            <w:pPr>
              <w:spacing w:after="0"/>
            </w:pPr>
            <w:r>
              <w:t xml:space="preserve">1</w:t>
            </w:r>
          </w:p>
        </w:tc>
      </w:tr>
      <w:tr>
        <w:tc>
          <w:tcPr>
            <w:tcW w:w="0" w:type="auto"/>
          </w:tcPr>
          <w:p>
            <w:pPr>
              <w:spacing w:after="0"/>
            </w:pPr>
            <w:r>
              <w:t xml:space="preserve">restauracion</w:t>
            </w:r>
          </w:p>
        </w:tc>
        <w:tc>
          <w:tcPr>
            <w:tcW w:w="0" w:type="auto"/>
          </w:tcPr>
          <w:p>
            <w:pPr>
              <w:spacing w:after="0"/>
            </w:pPr>
            <w:r>
              <w:t xml:space="preserve">1</w:t>
            </w:r>
          </w:p>
        </w:tc>
      </w:tr>
      <w:tr>
        <w:tc>
          <w:tcPr>
            <w:tcW w:w="0" w:type="auto"/>
            <w:shd w:val="clear" w:color="auto" w:fill="F8FAFC"/>
          </w:tcPr>
          <w:p>
            <w:pPr>
              <w:spacing w:after="0"/>
            </w:pPr>
            <w:r>
              <w:t xml:space="preserve">coberturas</w:t>
            </w:r>
          </w:p>
        </w:tc>
        <w:tc>
          <w:tcPr>
            <w:tcW w:w="0" w:type="auto"/>
            <w:shd w:val="clear" w:color="auto" w:fill="F8FAFC"/>
          </w:tcPr>
          <w:p>
            <w:pPr>
              <w:spacing w:after="0"/>
            </w:pPr>
            <w:r>
              <w:t xml:space="preserve">1</w:t>
            </w:r>
          </w:p>
        </w:tc>
      </w:tr>
      <w:tr>
        <w:tc>
          <w:tcPr>
            <w:tcW w:w="0" w:type="auto"/>
          </w:tcPr>
          <w:p>
            <w:pPr>
              <w:spacing w:after="0"/>
            </w:pPr>
            <w:r>
              <w:t xml:space="preserve">visor</w:t>
            </w:r>
          </w:p>
        </w:tc>
        <w:tc>
          <w:tcPr>
            <w:tcW w:w="0" w:type="auto"/>
          </w:tcPr>
          <w:p>
            <w:pPr>
              <w:spacing w:after="0"/>
            </w:pPr>
            <w:r>
              <w:t xml:space="preserve">1</w:t>
            </w:r>
          </w:p>
        </w:tc>
      </w:tr>
      <w:tr>
        <w:tc>
          <w:tcPr>
            <w:tcW w:w="0" w:type="auto"/>
            <w:shd w:val="clear" w:color="auto" w:fill="F8FAFC"/>
          </w:tcPr>
          <w:p>
            <w:pPr>
              <w:spacing w:after="0"/>
            </w:pPr>
            <w:r>
              <w:t xml:space="preserve">crud</w:t>
            </w:r>
          </w:p>
        </w:tc>
        <w:tc>
          <w:tcPr>
            <w:tcW w:w="0" w:type="auto"/>
            <w:shd w:val="clear" w:color="auto" w:fill="F8FAFC"/>
          </w:tcPr>
          <w:p>
            <w:pPr>
              <w:spacing w:after="0"/>
            </w:pPr>
            <w:r>
              <w:t xml:space="preserve">1</w:t>
            </w:r>
          </w:p>
        </w:tc>
      </w:tr>
      <w:tr>
        <w:tc>
          <w:tcPr>
            <w:tcW w:w="0" w:type="auto"/>
          </w:tcPr>
          <w:p>
            <w:pPr>
              <w:spacing w:after="0"/>
            </w:pPr>
            <w:r>
              <w:t xml:space="preserve">spec</w:t>
            </w:r>
          </w:p>
        </w:tc>
        <w:tc>
          <w:tcPr>
            <w:tcW w:w="0" w:type="auto"/>
          </w:tcPr>
          <w:p>
            <w:pPr>
              <w:spacing w:after="0"/>
            </w:pPr>
            <w:r>
              <w:t xml:space="preserve">1</w:t>
            </w:r>
          </w:p>
        </w:tc>
      </w:tr>
      <w:tr>
        <w:tc>
          <w:tcPr>
            <w:tcW w:w="0" w:type="auto"/>
            <w:shd w:val="clear" w:color="auto" w:fill="F8FAFC"/>
          </w:tcPr>
          <w:p>
            <w:pPr>
              <w:spacing w:after="0"/>
            </w:pPr>
            <w:r>
              <w:t xml:space="preserve">backend+db</w:t>
            </w:r>
          </w:p>
        </w:tc>
        <w:tc>
          <w:tcPr>
            <w:tcW w:w="0" w:type="auto"/>
            <w:shd w:val="clear" w:color="auto" w:fill="F8FAFC"/>
          </w:tcPr>
          <w:p>
            <w:pPr>
              <w:spacing w:after="0"/>
            </w:pPr>
            <w:r>
              <w:t xml:space="preserve">1</w:t>
            </w:r>
          </w:p>
        </w:tc>
      </w:tr>
    </w:tbl>
    <w:p>
      <w:pPr/>
      <w:r>
        <w:rPr>
          <w:b/>
        </w:rPr>
        <w:t xml:space="preserve">Total de commits registrados: 23</w:t>
      </w:r>
    </w:p>
    <w:p>
      <w:pPr/>
      <w:r>
        <w:rPr/>
        <w:t xml:space="preserve">Rango de fechas: 31 de mayo de 2026 (commit inicial) → 19 de junio de 2026 (último commit).</w:t>
      </w:r>
    </w:p>
    <w:p>
      <w:r>
        <w:br w:type="page"/>
      </w:r>
    </w:p>
    <w:p>
      <w:pPr>
        <w:pStyle w:val="Heading1"/>
      </w:pPr>
      <w:r>
        <w:t>2. Bitácora cronológica (orden inverso, más reciente primero)</w:t>
      </w:r>
    </w:p>
    <w:p>
      <w:pPr/>
      <w:r>
        <w:rPr>
          <w:i/>
        </w:rPr>
        <w:t xml:space="preserve">Cada entrada muestra el hash, fecha, tipo y scope del commit según la convención Conventional Commits, el subject y una descripción técnica del cambio.</w:t>
      </w:r>
    </w:p>
    <w:p>
      <w:pPr>
        <w:pStyle w:val="Heading2"/>
      </w:pPr>
      <w:r>
        <w:t>2026-05-31  ·  ec2092d  ·  CHORE (infra)</w:t>
      </w:r>
    </w:p>
    <w:p>
      <w:pPr/>
      <w:r>
        <w:rPr>
          <w:b/>
        </w:rPr>
        <w:t xml:space="preserve">commit inicial de respaldo + .gitignore</w:t>
      </w:r>
    </w:p>
    <w:p>
      <w:pPr>
        <w:spacing w:after="60"/>
      </w:pPr>
      <w:r>
        <w:rPr>
          <w:b/>
          <w:color w:val="FFFFFF"/>
          <w:shd w:val="clear" w:color="auto" w:fill="6B7280"/>
        </w:rPr>
        <w:t>  CHORE  </w:t>
      </w:r>
    </w:p>
    <w:p>
      <w:pPr>
        <w:pStyle w:val="Heading3"/>
      </w:pPr>
      <w:r>
        <w:t>Cambios:</w:t>
      </w:r>
    </w:p>
    <w:p>
      <w:pPr>
        <w:ind w:left="360" w:hanging="180"/>
        <w:spacing w:after="40"/>
      </w:pPr>
      <w:r>
        <w:t xml:space="preserve">•  </w:t>
      </w:r>
      <w:r>
        <w:t xml:space="preserve">Inicialización del repositorio y configuración de .gitignore (excluye .env, node_modules, binarios).</w:t>
      </w:r>
    </w:p>
    <w:p>
      <w:r>
        <w:br w:type="page"/>
      </w:r>
    </w:p>
    <w:p>
      <w:pPr>
        <w:pStyle w:val="Heading2"/>
      </w:pPr>
      <w:r>
        <w:t>2026-06-09  ·  a0c79bc  ·  FEAT (backend+db)</w:t>
      </w:r>
    </w:p>
    <w:p>
      <w:pPr/>
      <w:r>
        <w:rPr>
          <w:b/>
        </w:rPr>
        <w:t xml:space="preserve">endpoint /api/resumen y dimensión de calidad</w:t>
      </w:r>
    </w:p>
    <w:p>
      <w:pPr>
        <w:spacing w:after="60"/>
      </w:pPr>
      <w:r>
        <w:rPr>
          <w:b/>
          <w:color w:val="FFFFFF"/>
          <w:shd w:val="clear" w:color="auto" w:fill="16A34A"/>
        </w:rPr>
        <w:t>  FEAT  </w:t>
      </w:r>
    </w:p>
    <w:p>
      <w:pPr>
        <w:pStyle w:val="Heading3"/>
      </w:pPr>
      <w:r>
        <w:t>Cambios:</w:t>
      </w:r>
    </w:p>
    <w:p>
      <w:pPr>
        <w:ind w:left="360" w:hanging="180"/>
        <w:spacing w:after="40"/>
      </w:pPr>
      <w:r>
        <w:t xml:space="preserve">•  </w:t>
      </w:r>
      <w:r>
        <w:t xml:space="preserve">Endpoint /api/resumen con totales y proporción por categoría (escala ICAM).</w:t>
      </w:r>
    </w:p>
    <w:p>
      <w:pPr>
        <w:ind w:left="360" w:hanging="180"/>
        <w:spacing w:after="40"/>
      </w:pPr>
      <w:r>
        <w:t xml:space="preserve">•  </w:t>
      </w:r>
      <w:r>
        <w:t xml:space="preserve">Nuevos campos categoria_calidad y periodo en polígonos y lotes.</w:t>
      </w:r>
    </w:p>
    <w:p>
      <w:r>
        <w:br w:type="page"/>
      </w:r>
    </w:p>
    <w:p>
      <w:pPr>
        <w:pStyle w:val="Heading2"/>
      </w:pPr>
      <w:r>
        <w:t>2026-06-10  ·  8f9e65f  ·  FEAT (frontend)</w:t>
      </w:r>
    </w:p>
    <w:p>
      <w:pPr/>
      <w:r>
        <w:rPr>
          <w:b/>
        </w:rPr>
        <w:t xml:space="preserve">rediseño del visor a dashboard departamental tipo ICAM</w:t>
      </w:r>
    </w:p>
    <w:p>
      <w:pPr>
        <w:spacing w:after="60"/>
      </w:pPr>
      <w:r>
        <w:rPr>
          <w:b/>
          <w:color w:val="FFFFFF"/>
          <w:shd w:val="clear" w:color="auto" w:fill="16A34A"/>
        </w:rPr>
        <w:t>  FEAT  </w:t>
      </w:r>
    </w:p>
    <w:p>
      <w:pPr>
        <w:pStyle w:val="Heading3"/>
      </w:pPr>
      <w:r>
        <w:t>Cambios:</w:t>
      </w:r>
    </w:p>
    <w:p>
      <w:pPr>
        <w:ind w:left="360" w:hanging="180"/>
        <w:spacing w:after="40"/>
      </w:pPr>
      <w:r>
        <w:t xml:space="preserve">•  </w:t>
      </w:r>
      <w:r>
        <w:t xml:space="preserve">Cabecera con escala de calidad, pestañas, selector de periodo, lista de sitios, KPIs, dona y barras (SVG puro).</w:t>
      </w:r>
    </w:p>
    <w:p>
      <w:pPr>
        <w:ind w:left="360" w:hanging="180"/>
        <w:spacing w:after="40"/>
      </w:pPr>
      <w:r>
        <w:t xml:space="preserve">•  </w:t>
      </w:r>
      <w:r>
        <w:t xml:space="preserve">Mapa Esri con puntos por categoría, footer institucional.</w:t>
      </w:r>
    </w:p>
    <w:p>
      <w:r>
        <w:br w:type="page"/>
      </w:r>
    </w:p>
    <w:p>
      <w:pPr>
        <w:pStyle w:val="Heading2"/>
      </w:pPr>
      <w:r>
        <w:t>2026-06-10  ·  16f0869  ·  DOCS+DATA (docs)</w:t>
      </w:r>
    </w:p>
    <w:p>
      <w:pPr/>
      <w:r>
        <w:rPr>
          <w:b/>
        </w:rPr>
        <w:t xml:space="preserve">alinear documentación y cargar datos del proyecto Luruaco</w:t>
      </w:r>
    </w:p>
    <w:p>
      <w:pPr>
        <w:spacing w:after="60"/>
      </w:pPr>
      <w:r>
        <w:rPr>
          <w:b/>
          <w:color w:val="FFFFFF"/>
          <w:shd w:val="clear" w:color="auto" w:fill="2E8B8B"/>
        </w:rPr>
        <w:t>  DOCS+DATA  </w:t>
      </w:r>
    </w:p>
    <w:p>
      <w:pPr>
        <w:pStyle w:val="Heading3"/>
      </w:pPr>
      <w:r>
        <w:t>Cambios:</w:t>
      </w:r>
    </w:p>
    <w:p>
      <w:pPr>
        <w:ind w:left="360" w:hanging="180"/>
        <w:spacing w:after="40"/>
      </w:pPr>
      <w:r>
        <w:t xml:space="preserve">•  </w:t>
      </w:r>
      <w:r>
        <w:t xml:space="preserve">Sincronización de la documentación con el estado real del proyecto.</w:t>
      </w:r>
    </w:p>
    <w:p>
      <w:r>
        <w:br w:type="page"/>
      </w:r>
    </w:p>
    <w:p>
      <w:pPr>
        <w:pStyle w:val="Heading2"/>
      </w:pPr>
      <w:r>
        <w:t>2026-06-10  ·  530a414  ·  FEAT (datos)</w:t>
      </w:r>
    </w:p>
    <w:p>
      <w:pPr/>
      <w:r>
        <w:rPr>
          <w:b/>
        </w:rPr>
        <w:t xml:space="preserve">dejar solo datos reales + capa de puntos de control</w:t>
      </w:r>
    </w:p>
    <w:p>
      <w:pPr>
        <w:spacing w:after="60"/>
      </w:pPr>
      <w:r>
        <w:rPr>
          <w:b/>
          <w:color w:val="FFFFFF"/>
          <w:shd w:val="clear" w:color="auto" w:fill="16A34A"/>
        </w:rPr>
        <w:t>  FEAT  </w:t>
      </w:r>
    </w:p>
    <w:p>
      <w:pPr>
        <w:pStyle w:val="Heading3"/>
      </w:pPr>
      <w:r>
        <w:t>Cambios:</w:t>
      </w:r>
    </w:p>
    <w:p>
      <w:pPr>
        <w:ind w:left="360" w:hanging="180"/>
        <w:spacing w:after="40"/>
      </w:pPr>
      <w:r>
        <w:t xml:space="preserve">•  </w:t>
      </w:r>
      <w:r>
        <w:t xml:space="preserve">Eliminación de las 2 zonas de ejemplo del Anexo B (no eran datos de campo).</w:t>
      </w:r>
    </w:p>
    <w:p>
      <w:pPr>
        <w:ind w:left="360" w:hanging="180"/>
        <w:spacing w:after="40"/>
      </w:pPr>
      <w:r>
        <w:t xml:space="preserve">•  </w:t>
      </w:r>
      <w:r>
        <w:t xml:space="preserve">Capa de puntos de control en el mapa (crosshair morado), separada de los 'sitios'.</w:t>
      </w:r>
    </w:p>
    <w:p>
      <w:r>
        <w:br w:type="page"/>
      </w:r>
    </w:p>
    <w:p>
      <w:pPr>
        <w:pStyle w:val="Heading2"/>
      </w:pPr>
      <w:r>
        <w:t>2026-06-10  ·  5158cf1  ·  FEAT (geovisor)</w:t>
      </w:r>
    </w:p>
    <w:p>
      <w:pPr/>
      <w:r>
        <w:rPr>
          <w:b/>
        </w:rPr>
        <w:t xml:space="preserve">F1: capas conmutables, filtros y búsqueda</w:t>
      </w:r>
    </w:p>
    <w:p>
      <w:pPr>
        <w:spacing w:after="60"/>
      </w:pPr>
      <w:r>
        <w:rPr>
          <w:b/>
          <w:color w:val="FFFFFF"/>
          <w:shd w:val="clear" w:color="auto" w:fill="16A34A"/>
        </w:rPr>
        <w:t>  FEAT  </w:t>
      </w:r>
    </w:p>
    <w:p>
      <w:pPr>
        <w:pStyle w:val="Heading3"/>
      </w:pPr>
      <w:r>
        <w:t>Cambios:</w:t>
      </w:r>
    </w:p>
    <w:p>
      <w:pPr>
        <w:ind w:left="360" w:hanging="180"/>
        <w:spacing w:after="40"/>
      </w:pPr>
      <w:r>
        <w:t xml:space="preserve">•  </w:t>
      </w:r>
      <w:r>
        <w:t xml:space="preserve">LayersControl.Overlay: encendido/apagado independiente de Zonas, Lotes y Puntos.</w:t>
      </w:r>
    </w:p>
    <w:p>
      <w:pPr>
        <w:ind w:left="360" w:hanging="180"/>
        <w:spacing w:after="40"/>
      </w:pPr>
      <w:r>
        <w:t xml:space="preserve">•  </w:t>
      </w:r>
      <w:r>
        <w:t xml:space="preserve">FiltersPanel: filtros por categoría de calidad y tipo de ecosistema.</w:t>
      </w:r>
    </w:p>
    <w:p>
      <w:pPr>
        <w:ind w:left="360" w:hanging="180"/>
        <w:spacing w:after="40"/>
      </w:pPr>
      <w:r>
        <w:t xml:space="preserve">•  </w:t>
      </w:r>
      <w:r>
        <w:t xml:space="preserve">Búsqueda geográfica por nombre y por lugar (Nominatim/OSM con flyTo).</w:t>
      </w:r>
    </w:p>
    <w:p>
      <w:r>
        <w:br w:type="page"/>
      </w:r>
    </w:p>
    <w:p>
      <w:pPr>
        <w:pStyle w:val="Heading2"/>
      </w:pPr>
      <w:r>
        <w:t>2026-06-10  ·  989b447  ·  FEAT (spec)</w:t>
      </w:r>
    </w:p>
    <w:p>
      <w:pPr/>
      <w:r>
        <w:rPr>
          <w:b/>
        </w:rPr>
        <w:t xml:space="preserve">auth+roles, reportes, geovisor completo, modelo spec, insumos dron e infra productiva</w:t>
      </w:r>
    </w:p>
    <w:p>
      <w:pPr>
        <w:spacing w:after="60"/>
      </w:pPr>
      <w:r>
        <w:rPr>
          <w:b/>
          <w:color w:val="FFFFFF"/>
          <w:shd w:val="clear" w:color="auto" w:fill="16A34A"/>
        </w:rPr>
        <w:t>  FEAT  </w:t>
      </w:r>
    </w:p>
    <w:p>
      <w:pPr>
        <w:pStyle w:val="Heading3"/>
      </w:pPr>
      <w:r>
        <w:t>Cambios:</w:t>
      </w:r>
    </w:p>
    <w:p>
      <w:pPr>
        <w:ind w:left="360" w:hanging="180"/>
        <w:spacing w:after="40"/>
      </w:pPr>
      <w:r>
        <w:t xml:space="preserve">•  </w:t>
      </w:r>
      <w:r>
        <w:t xml:space="preserve">Cierre del capítulo de brechas contractuales: autenticación JWT con 3 roles, módulo de reportes CSV/Excel/PDF,</w:t>
      </w:r>
    </w:p>
    <w:p>
      <w:pPr>
        <w:ind w:left="360" w:hanging="180"/>
        <w:spacing w:after="40"/>
      </w:pPr>
      <w:r>
        <w:t xml:space="preserve">•  </w:t>
      </w:r>
      <w:r>
        <w:t xml:space="preserve">geovisor completo (medición + comparación temporal), modelo spec, 8 insumos dron catalogados,</w:t>
      </w:r>
    </w:p>
    <w:p>
      <w:pPr>
        <w:ind w:left="360" w:hanging="180"/>
        <w:spacing w:after="40"/>
      </w:pPr>
      <w:r>
        <w:t xml:space="preserve">•  </w:t>
      </w:r>
      <w:r>
        <w:t xml:space="preserve">infraestructura productiva (Dockerfiles, Nginx, docker-compose.prod.yml, backups).</w:t>
      </w:r>
    </w:p>
    <w:p>
      <w:r>
        <w:br w:type="page"/>
      </w:r>
    </w:p>
    <w:p>
      <w:pPr>
        <w:pStyle w:val="Heading2"/>
      </w:pPr>
      <w:r>
        <w:t>2026-06-10  ·  6332302  ·  DOCS (docs)</w:t>
      </w:r>
    </w:p>
    <w:p>
      <w:pPr/>
      <w:r>
        <w:rPr>
          <w:b/>
        </w:rPr>
        <w:t xml:space="preserve">registrar cierre de brechas en changelog</w:t>
      </w:r>
    </w:p>
    <w:p>
      <w:pPr>
        <w:spacing w:after="60"/>
      </w:pPr>
      <w:r>
        <w:rPr>
          <w:b/>
          <w:color w:val="FFFFFF"/>
          <w:shd w:val="clear" w:color="auto" w:fill="2E8B8B"/>
        </w:rPr>
        <w:t>  DOCS  </w:t>
      </w:r>
    </w:p>
    <w:p>
      <w:pPr>
        <w:pStyle w:val="Heading3"/>
      </w:pPr>
      <w:r>
        <w:t>Cambios:</w:t>
      </w:r>
    </w:p>
    <w:p>
      <w:pPr>
        <w:ind w:left="360" w:hanging="180"/>
        <w:spacing w:after="40"/>
      </w:pPr>
      <w:r>
        <w:t xml:space="preserve">•  </w:t>
      </w:r>
      <w:r>
        <w:t xml:space="preserve">Documentación del cierre de las brechas contractuales detectadas en la auditoría de junio.</w:t>
      </w:r>
    </w:p>
    <w:p>
      <w:r>
        <w:br w:type="page"/>
      </w:r>
    </w:p>
    <w:p>
      <w:pPr>
        <w:pStyle w:val="Heading2"/>
      </w:pPr>
      <w:r>
        <w:t>2026-06-11  ·  19d7e1e  ·  FEAT (crud)</w:t>
      </w:r>
    </w:p>
    <w:p>
      <w:pPr/>
      <w:r>
        <w:rPr>
          <w:b/>
        </w:rPr>
        <w:t xml:space="preserve">registro de monitoreos desde la plataforma + cambio de contraseña</w:t>
      </w:r>
    </w:p>
    <w:p>
      <w:pPr>
        <w:spacing w:after="60"/>
      </w:pPr>
      <w:r>
        <w:rPr>
          <w:b/>
          <w:color w:val="FFFFFF"/>
          <w:shd w:val="clear" w:color="auto" w:fill="16A34A"/>
        </w:rPr>
        <w:t>  FEAT  </w:t>
      </w:r>
    </w:p>
    <w:p>
      <w:pPr>
        <w:pStyle w:val="Heading3"/>
      </w:pPr>
      <w:r>
        <w:t>Cambios:</w:t>
      </w:r>
    </w:p>
    <w:p>
      <w:pPr>
        <w:ind w:left="360" w:hanging="180"/>
        <w:spacing w:after="40"/>
      </w:pPr>
      <w:r>
        <w:t xml:space="preserve">•  </w:t>
      </w:r>
      <w:r>
        <w:t xml:space="preserve">Backend: GET/POST/PUT /api/monitoreos (admin/técnico) y DELETE (solo admin).</w:t>
      </w:r>
    </w:p>
    <w:p>
      <w:pPr>
        <w:ind w:left="360" w:hanging="180"/>
        <w:spacing w:after="40"/>
      </w:pPr>
      <w:r>
        <w:t xml:space="preserve">•  </w:t>
      </w:r>
      <w:r>
        <w:t xml:space="preserve">Frontend: modal 'Registrar monitoreo' con estación, fecha, indicador, valor y observaciones.</w:t>
      </w:r>
    </w:p>
    <w:p>
      <w:pPr>
        <w:ind w:left="360" w:hanging="180"/>
        <w:spacing w:after="40"/>
      </w:pPr>
      <w:r>
        <w:t xml:space="preserve">•  </w:t>
      </w:r>
      <w:r>
        <w:t xml:space="preserve">PUT /api/auth/password para cambio de contraseña del propio usuario.</w:t>
      </w:r>
    </w:p>
    <w:p>
      <w:r>
        <w:br w:type="page"/>
      </w:r>
    </w:p>
    <w:p>
      <w:pPr>
        <w:pStyle w:val="Heading2"/>
      </w:pPr>
      <w:r>
        <w:t>2026-06-11  ·  c110d4b  ·  FEAT (visor)</w:t>
      </w:r>
    </w:p>
    <w:p>
      <w:pPr/>
      <w:r>
        <w:rPr>
          <w:b/>
        </w:rPr>
        <w:t xml:space="preserve">ortofoto del dron como capa de tiles XYZ</w:t>
      </w:r>
    </w:p>
    <w:p>
      <w:pPr>
        <w:spacing w:after="60"/>
      </w:pPr>
      <w:r>
        <w:rPr>
          <w:b/>
          <w:color w:val="FFFFFF"/>
          <w:shd w:val="clear" w:color="auto" w:fill="16A34A"/>
        </w:rPr>
        <w:t>  FEAT  </w:t>
      </w:r>
    </w:p>
    <w:p>
      <w:pPr>
        <w:pStyle w:val="Heading3"/>
      </w:pPr>
      <w:r>
        <w:t>Cambios:</w:t>
      </w:r>
    </w:p>
    <w:p>
      <w:pPr>
        <w:ind w:left="360" w:hanging="180"/>
        <w:spacing w:after="40"/>
      </w:pPr>
      <w:r>
        <w:t xml:space="preserve">•  </w:t>
      </w:r>
      <w:r>
        <w:t xml:space="preserve">GeoTIFF 8.9 GB (EPSG:4326, 3.1 cm/px) tileado con gdal2tiles (z13–20): 2.378 tiles / 259 MB.</w:t>
      </w:r>
    </w:p>
    <w:p>
      <w:pPr>
        <w:ind w:left="360" w:hanging="180"/>
        <w:spacing w:after="40"/>
      </w:pPr>
      <w:r>
        <w:t xml:space="preserve">•  </w:t>
      </w:r>
      <w:r>
        <w:t xml:space="preserve">Overlay 'Ortofoto dron (predio)' en el visor.</w:t>
      </w:r>
    </w:p>
    <w:p>
      <w:r>
        <w:br w:type="page"/>
      </w:r>
    </w:p>
    <w:p>
      <w:pPr>
        <w:pStyle w:val="Heading2"/>
      </w:pPr>
      <w:r>
        <w:t>2026-06-11  ·  a110d9a  ·  FEAT (coberturas)</w:t>
      </w:r>
    </w:p>
    <w:p>
      <w:pPr/>
      <w:r>
        <w:rPr>
          <w:b/>
        </w:rPr>
        <w:t xml:space="preserve">clasificación Corine del dron en geodatabase, API y visor</w:t>
      </w:r>
    </w:p>
    <w:p>
      <w:pPr>
        <w:spacing w:after="60"/>
      </w:pPr>
      <w:r>
        <w:rPr>
          <w:b/>
          <w:color w:val="FFFFFF"/>
          <w:shd w:val="clear" w:color="auto" w:fill="16A34A"/>
        </w:rPr>
        <w:t>  FEAT  </w:t>
      </w:r>
    </w:p>
    <w:p>
      <w:pPr>
        <w:pStyle w:val="Heading3"/>
      </w:pPr>
      <w:r>
        <w:t>Cambios:</w:t>
      </w:r>
    </w:p>
    <w:p>
      <w:pPr>
        <w:ind w:left="360" w:hanging="180"/>
        <w:spacing w:after="40"/>
      </w:pPr>
      <w:r>
        <w:t xml:space="preserve">•  </w:t>
      </w:r>
      <w:r>
        <w:t xml:space="preserve">Raster isoc_12 procesado y vectorizado: 20.057 polígonos → 11 clases consolidadas (96,3 ha).</w:t>
      </w:r>
    </w:p>
    <w:p>
      <w:pPr>
        <w:ind w:left="360" w:hanging="180"/>
        <w:spacing w:after="40"/>
      </w:pPr>
      <w:r>
        <w:t xml:space="preserve">•  </w:t>
      </w:r>
      <w:r>
        <w:t xml:space="preserve">Endpoint /api/coberturas con simplificación geométrica para aligerar la transferencia.</w:t>
      </w:r>
    </w:p>
    <w:p>
      <w:pPr>
        <w:ind w:left="360" w:hanging="180"/>
        <w:spacing w:after="40"/>
      </w:pPr>
      <w:r>
        <w:t xml:space="preserve">•  </w:t>
      </w:r>
      <w:r>
        <w:t xml:space="preserve">Overlay en el visor con paleta de 12 clases y popup ha/%.</w:t>
      </w:r>
    </w:p>
    <w:p>
      <w:r>
        <w:br w:type="page"/>
      </w:r>
    </w:p>
    <w:p>
      <w:pPr>
        <w:pStyle w:val="Heading2"/>
      </w:pPr>
      <w:r>
        <w:t>2026-06-11  ·  9388d12  ·  DOCS (docs)</w:t>
      </w:r>
    </w:p>
    <w:p>
      <w:pPr/>
      <w:r>
        <w:rPr>
          <w:b/>
        </w:rPr>
        <w:t xml:space="preserve">informe de avance contractual (Contrato 324/2025)</w:t>
      </w:r>
    </w:p>
    <w:p>
      <w:pPr>
        <w:spacing w:after="60"/>
      </w:pPr>
      <w:r>
        <w:rPr>
          <w:b/>
          <w:color w:val="FFFFFF"/>
          <w:shd w:val="clear" w:color="auto" w:fill="2E8B8B"/>
        </w:rPr>
        <w:t>  DOCS  </w:t>
      </w:r>
    </w:p>
    <w:p>
      <w:pPr>
        <w:pStyle w:val="Heading3"/>
      </w:pPr>
      <w:r>
        <w:t>Cambios:</w:t>
      </w:r>
    </w:p>
    <w:p>
      <w:pPr>
        <w:ind w:left="360" w:hanging="180"/>
        <w:spacing w:after="40"/>
      </w:pPr>
      <w:r>
        <w:t xml:space="preserve">•  </w:t>
      </w:r>
      <w:r>
        <w:t xml:space="preserve">Versión inicial del informe de avance contractual.</w:t>
      </w:r>
    </w:p>
    <w:p>
      <w:r>
        <w:br w:type="page"/>
      </w:r>
    </w:p>
    <w:p>
      <w:pPr>
        <w:pStyle w:val="Heading2"/>
      </w:pPr>
      <w:r>
        <w:t>2026-06-12  ·  2092d8c  ·  DOCS (docs)</w:t>
      </w:r>
    </w:p>
    <w:p>
      <w:pPr/>
      <w:r>
        <w:rPr>
          <w:b/>
        </w:rPr>
        <w:t xml:space="preserve">anexo H (registro fotográfico con pies de figura) + informe actualizado</w:t>
      </w:r>
    </w:p>
    <w:p>
      <w:pPr>
        <w:spacing w:after="60"/>
      </w:pPr>
      <w:r>
        <w:rPr>
          <w:b/>
          <w:color w:val="FFFFFF"/>
          <w:shd w:val="clear" w:color="auto" w:fill="2E8B8B"/>
        </w:rPr>
        <w:t>  DOCS  </w:t>
      </w:r>
    </w:p>
    <w:p>
      <w:pPr>
        <w:pStyle w:val="Heading3"/>
      </w:pPr>
      <w:r>
        <w:t>Cambios:</w:t>
      </w:r>
    </w:p>
    <w:p>
      <w:pPr>
        <w:ind w:left="360" w:hanging="180"/>
        <w:spacing w:after="40"/>
      </w:pPr>
      <w:r>
        <w:t xml:space="preserve">•  </w:t>
      </w:r>
      <w:r>
        <w:t xml:space="preserve">Anexo H: registro fotográfico de la aplicación con pies de figura numerados.</w:t>
      </w:r>
    </w:p>
    <w:p>
      <w:pPr>
        <w:ind w:left="360" w:hanging="180"/>
        <w:spacing w:after="40"/>
      </w:pPr>
      <w:r>
        <w:t xml:space="preserve">•  </w:t>
      </w:r>
      <w:r>
        <w:t xml:space="preserve">Actualización del informe de avance contractual con el nuevo anexo.</w:t>
      </w:r>
    </w:p>
    <w:p>
      <w:r>
        <w:br w:type="page"/>
      </w:r>
    </w:p>
    <w:p>
      <w:pPr>
        <w:pStyle w:val="Heading2"/>
      </w:pPr>
      <w:r>
        <w:t>2026-06-17  ·  18cdfa1  ·  CHORE (frontend)</w:t>
      </w:r>
    </w:p>
    <w:p>
      <w:pPr/>
      <w:r>
        <w:rPr>
          <w:b/>
        </w:rPr>
        <w:t xml:space="preserve">dev usa backend real por defecto + soporte de demos por túnel</w:t>
      </w:r>
    </w:p>
    <w:p>
      <w:pPr>
        <w:spacing w:after="60"/>
      </w:pPr>
      <w:r>
        <w:rPr>
          <w:b/>
          <w:color w:val="FFFFFF"/>
          <w:shd w:val="clear" w:color="auto" w:fill="6B7280"/>
        </w:rPr>
        <w:t>  CHORE  </w:t>
      </w:r>
    </w:p>
    <w:p>
      <w:pPr>
        <w:pStyle w:val="Heading3"/>
      </w:pPr>
      <w:r>
        <w:t>Cambios:</w:t>
      </w:r>
    </w:p>
    <w:p>
      <w:pPr>
        <w:ind w:left="360" w:hanging="180"/>
        <w:spacing w:after="40"/>
      </w:pPr>
      <w:r>
        <w:t xml:space="preserve">•  </w:t>
      </w:r>
      <w:r>
        <w:t xml:space="preserve">Cambio de configuración: en dev se conecta al backend real por defecto.</w:t>
      </w:r>
    </w:p>
    <w:p>
      <w:pPr>
        <w:ind w:left="360" w:hanging="180"/>
        <w:spacing w:after="40"/>
      </w:pPr>
      <w:r>
        <w:t xml:space="preserve">•  </w:t>
      </w:r>
      <w:r>
        <w:t xml:space="preserve">Soporte para túneles (ngrok / cloudflared) para demos a la Dirección del Proyecto.</w:t>
      </w:r>
    </w:p>
    <w:p>
      <w:r>
        <w:br w:type="page"/>
      </w:r>
    </w:p>
    <w:p>
      <w:pPr>
        <w:pStyle w:val="Heading2"/>
      </w:pPr>
      <w:r>
        <w:t>2026-06-17  ·  d00857e  ·  FEAT (restauracion)</w:t>
      </w:r>
    </w:p>
    <w:p>
      <w:pPr/>
      <w:r>
        <w:rPr>
          <w:b/>
        </w:rPr>
        <w:t xml:space="preserve">capas temáticas (estratos, malezas, técnicas, validación)</w:t>
      </w:r>
    </w:p>
    <w:p>
      <w:pPr>
        <w:spacing w:after="60"/>
      </w:pPr>
      <w:r>
        <w:rPr>
          <w:b/>
          <w:color w:val="FFFFFF"/>
          <w:shd w:val="clear" w:color="auto" w:fill="16A34A"/>
        </w:rPr>
        <w:t>  FEAT  </w:t>
      </w:r>
    </w:p>
    <w:p>
      <w:pPr>
        <w:pStyle w:val="Heading3"/>
      </w:pPr>
      <w:r>
        <w:t>Cambios:</w:t>
      </w:r>
    </w:p>
    <w:p>
      <w:pPr>
        <w:ind w:left="360" w:hanging="180"/>
        <w:spacing w:after="40"/>
      </w:pPr>
      <w:r>
        <w:t xml:space="preserve">•  </w:t>
      </w:r>
      <w:r>
        <w:t xml:space="preserve">Migración 07: tablas y endpoints para estratos, malezas, técnicas y validación.</w:t>
      </w:r>
    </w:p>
    <w:p>
      <w:pPr>
        <w:ind w:left="360" w:hanging="180"/>
        <w:spacing w:after="40"/>
      </w:pPr>
      <w:r>
        <w:t xml:space="preserve">•  </w:t>
      </w:r>
      <w:r>
        <w:t xml:space="preserve">Cumplimiento valor/meta por sitio y homologación temática provisional.</w:t>
      </w:r>
    </w:p>
    <w:p>
      <w:r>
        <w:br w:type="page"/>
      </w:r>
    </w:p>
    <w:p>
      <w:pPr>
        <w:pStyle w:val="Heading2"/>
      </w:pPr>
      <w:r>
        <w:t>2026-06-17  ·  3e5714e  ·  FEAT (geovisor)</w:t>
      </w:r>
    </w:p>
    <w:p>
      <w:pPr/>
      <w:r>
        <w:rPr>
          <w:b/>
        </w:rPr>
        <w:t xml:space="preserve">mapas base, herramientas UX y capas WMS del IGAC</w:t>
      </w:r>
    </w:p>
    <w:p>
      <w:pPr>
        <w:spacing w:after="60"/>
      </w:pPr>
      <w:r>
        <w:rPr>
          <w:b/>
          <w:color w:val="FFFFFF"/>
          <w:shd w:val="clear" w:color="auto" w:fill="16A34A"/>
        </w:rPr>
        <w:t>  FEAT  </w:t>
      </w:r>
    </w:p>
    <w:p>
      <w:pPr>
        <w:pStyle w:val="Heading3"/>
      </w:pPr>
      <w:r>
        <w:t>Cambios:</w:t>
      </w:r>
    </w:p>
    <w:p>
      <w:pPr>
        <w:ind w:left="360" w:hanging="180"/>
        <w:spacing w:after="40"/>
      </w:pPr>
      <w:r>
        <w:t xml:space="preserve">•  </w:t>
      </w:r>
      <w:r>
        <w:t xml:space="preserve">7 mapas base: satelital, topográfico, terreno, océano, calles, lona negra, lona clara.</w:t>
      </w:r>
    </w:p>
    <w:p>
      <w:pPr>
        <w:ind w:left="360" w:hanging="180"/>
        <w:spacing w:after="40"/>
      </w:pPr>
      <w:r>
        <w:t xml:space="preserve">•  </w:t>
      </w:r>
      <w:r>
        <w:t xml:space="preserve">Herramientas UX: compartir por enlace, imprimir/exportar, descargar GeoJSON, coordenada en vivo.</w:t>
      </w:r>
    </w:p>
    <w:p>
      <w:pPr>
        <w:ind w:left="360" w:hanging="180"/>
        <w:spacing w:after="40"/>
      </w:pPr>
      <w:r>
        <w:t xml:space="preserve">•  </w:t>
      </w:r>
      <w:r>
        <w:t xml:space="preserve">Capas oficiales IGAC vía WMS: catastro predial, pendientes (30 m) y agrología nacional.</w:t>
      </w:r>
    </w:p>
    <w:p>
      <w:r>
        <w:br w:type="page"/>
      </w:r>
    </w:p>
    <w:p>
      <w:pPr>
        <w:pStyle w:val="Heading2"/>
      </w:pPr>
      <w:r>
        <w:t>2026-06-17  ·  9bfacbc  ·  FEAT (marca)</w:t>
      </w:r>
    </w:p>
    <w:p>
      <w:pPr/>
      <w:r>
        <w:rPr>
          <w:b/>
        </w:rPr>
        <w:t xml:space="preserve">logos del proyecto y de la CRA + limpieza de navegación</w:t>
      </w:r>
    </w:p>
    <w:p>
      <w:pPr>
        <w:spacing w:after="60"/>
      </w:pPr>
      <w:r>
        <w:rPr>
          <w:b/>
          <w:color w:val="FFFFFF"/>
          <w:shd w:val="clear" w:color="auto" w:fill="16A34A"/>
        </w:rPr>
        <w:t>  FEAT  </w:t>
      </w:r>
    </w:p>
    <w:p>
      <w:pPr>
        <w:pStyle w:val="Heading3"/>
      </w:pPr>
      <w:r>
        <w:t>Cambios:</w:t>
      </w:r>
    </w:p>
    <w:p>
      <w:pPr>
        <w:ind w:left="360" w:hanging="180"/>
        <w:spacing w:after="40"/>
      </w:pPr>
      <w:r>
        <w:t xml:space="preserve">•  </w:t>
      </w:r>
      <w:r>
        <w:t xml:space="preserve">Integración de logos oficiales (CRA + proyecto) en cabecera y login.</w:t>
      </w:r>
    </w:p>
    <w:p>
      <w:pPr>
        <w:ind w:left="360" w:hanging="180"/>
        <w:spacing w:after="40"/>
      </w:pPr>
      <w:r>
        <w:t xml:space="preserve">•  </w:t>
      </w:r>
      <w:r>
        <w:t xml:space="preserve">Limpieza del menú de navegación y la jerarquía de rutas.</w:t>
      </w:r>
    </w:p>
    <w:p>
      <w:r>
        <w:br w:type="page"/>
      </w:r>
    </w:p>
    <w:p>
      <w:pPr>
        <w:pStyle w:val="Heading2"/>
      </w:pPr>
      <w:r>
        <w:t>2026-06-17  ·  5170899  ·  FEAT (landing)</w:t>
      </w:r>
    </w:p>
    <w:p>
      <w:pPr/>
      <w:r>
        <w:rPr>
          <w:b/>
        </w:rPr>
        <w:t xml:space="preserve">página de presentación previa al login</w:t>
      </w:r>
    </w:p>
    <w:p>
      <w:pPr>
        <w:spacing w:after="60"/>
      </w:pPr>
      <w:r>
        <w:rPr>
          <w:b/>
          <w:color w:val="FFFFFF"/>
          <w:shd w:val="clear" w:color="auto" w:fill="16A34A"/>
        </w:rPr>
        <w:t>  FEAT  </w:t>
      </w:r>
    </w:p>
    <w:p>
      <w:pPr>
        <w:pStyle w:val="Heading3"/>
      </w:pPr>
      <w:r>
        <w:t>Cambios:</w:t>
      </w:r>
    </w:p>
    <w:p>
      <w:pPr>
        <w:ind w:left="360" w:hanging="180"/>
        <w:spacing w:after="40"/>
      </w:pPr>
      <w:r>
        <w:t xml:space="preserve">•  </w:t>
      </w:r>
      <w:r>
        <w:t xml:space="preserve">Versión inicial de la landing institucional con identidad del proyecto.</w:t>
      </w:r>
    </w:p>
    <w:p>
      <w:r>
        <w:br w:type="page"/>
      </w:r>
    </w:p>
    <w:p>
      <w:pPr>
        <w:pStyle w:val="Heading2"/>
      </w:pPr>
      <w:r>
        <w:t>2026-06-17  ·  7acf891  ·  FEAT (datos)</w:t>
      </w:r>
    </w:p>
    <w:p>
      <w:pPr/>
      <w:r>
        <w:rPr>
          <w:b/>
        </w:rPr>
        <w:t xml:space="preserve">importador genérico OGR (GeoPackage, SHP, KML, GeoJSON…)</w:t>
      </w:r>
    </w:p>
    <w:p>
      <w:pPr>
        <w:spacing w:after="60"/>
      </w:pPr>
      <w:r>
        <w:rPr>
          <w:b/>
          <w:color w:val="FFFFFF"/>
          <w:shd w:val="clear" w:color="auto" w:fill="16A34A"/>
        </w:rPr>
        <w:t>  FEAT  </w:t>
      </w:r>
    </w:p>
    <w:p>
      <w:pPr>
        <w:pStyle w:val="Heading3"/>
      </w:pPr>
      <w:r>
        <w:t>Cambios:</w:t>
      </w:r>
    </w:p>
    <w:p>
      <w:pPr>
        <w:ind w:left="360" w:hanging="180"/>
        <w:spacing w:after="40"/>
      </w:pPr>
      <w:r>
        <w:t xml:space="preserve">•  </w:t>
      </w:r>
      <w:r>
        <w:t xml:space="preserve">Script import_ogr.sh soporta múltiples formatos geoespaciales vía ogr2ogr.</w:t>
      </w:r>
    </w:p>
    <w:p>
      <w:pPr>
        <w:ind w:left="360" w:hanging="180"/>
        <w:spacing w:after="40"/>
      </w:pPr>
      <w:r>
        <w:t xml:space="preserve">•  </w:t>
      </w:r>
      <w:r>
        <w:t xml:space="preserve">Reducción del trabajo manual de ingesta de capas para el equipo técnico.</w:t>
      </w:r>
    </w:p>
    <w:p>
      <w:r>
        <w:br w:type="page"/>
      </w:r>
    </w:p>
    <w:p>
      <w:pPr>
        <w:pStyle w:val="Heading2"/>
      </w:pPr>
      <w:r>
        <w:t>2026-06-17  ·  2d551f6  ·  FEAT (infra)</w:t>
      </w:r>
    </w:p>
    <w:p>
      <w:pPr/>
      <w:r>
        <w:rPr>
          <w:b/>
        </w:rPr>
        <w:t xml:space="preserve">landing Claude, puntos GPS, curvas fuera, healthcheck, deploy VPS</w:t>
      </w:r>
    </w:p>
    <w:p>
      <w:pPr>
        <w:spacing w:after="60"/>
      </w:pPr>
      <w:r>
        <w:rPr>
          <w:b/>
          <w:color w:val="FFFFFF"/>
          <w:shd w:val="clear" w:color="auto" w:fill="16A34A"/>
        </w:rPr>
        <w:t>  FEAT  </w:t>
      </w:r>
    </w:p>
    <w:p>
      <w:pPr>
        <w:pStyle w:val="Heading3"/>
      </w:pPr>
      <w:r>
        <w:t>Cambios:</w:t>
      </w:r>
    </w:p>
    <w:p>
      <w:pPr>
        <w:ind w:left="360" w:hanging="180"/>
        <w:spacing w:after="40"/>
      </w:pPr>
      <w:r>
        <w:t xml:space="preserve">•  </w:t>
      </w:r>
      <w:r>
        <w:t xml:space="preserve">Punto GPS real GPS1 de PC Luruaco.csv (reproyectado de EPSG:9377 a WGS84 → -75.170943, 10.606029).</w:t>
      </w:r>
    </w:p>
    <w:p>
      <w:pPr>
        <w:ind w:left="360" w:hanging="180"/>
        <w:spacing w:after="40"/>
      </w:pPr>
      <w:r>
        <w:t xml:space="preserve">•  </w:t>
      </w:r>
      <w:r>
        <w:t xml:space="preserve">Curvas de nivel separadas del visor (mejoran el rendimiento del mapa principal).</w:t>
      </w:r>
    </w:p>
    <w:p>
      <w:pPr>
        <w:ind w:left="360" w:hanging="180"/>
        <w:spacing w:after="40"/>
      </w:pPr>
      <w:r>
        <w:t xml:space="preserve">•  </w:t>
      </w:r>
      <w:r>
        <w:t xml:space="preserve">Endpoint /health robusto en el backend.</w:t>
      </w:r>
    </w:p>
    <w:p>
      <w:pPr>
        <w:ind w:left="360" w:hanging="180"/>
        <w:spacing w:after="40"/>
      </w:pPr>
      <w:r>
        <w:t xml:space="preserve">•  </w:t>
      </w:r>
      <w:r>
        <w:t xml:space="preserve">Pipeline de despliegue en VPS Hetzner (Docker + Traefik + TLS).</w:t>
      </w:r>
    </w:p>
    <w:p>
      <w:r>
        <w:br w:type="page"/>
      </w:r>
    </w:p>
    <w:p>
      <w:pPr>
        <w:pStyle w:val="Heading2"/>
      </w:pPr>
      <w:r>
        <w:t>2026-06-18  ·  36a488e  ·  FIX (responsive)</w:t>
      </w:r>
    </w:p>
    <w:p>
      <w:pPr/>
      <w:r>
        <w:rPr>
          <w:b/>
        </w:rPr>
        <w:t xml:space="preserve">el visor se ve correctamente en móvil</w:t>
      </w:r>
    </w:p>
    <w:p>
      <w:pPr>
        <w:spacing w:after="60"/>
      </w:pPr>
      <w:r>
        <w:rPr>
          <w:b/>
          <w:color w:val="FFFFFF"/>
          <w:shd w:val="clear" w:color="auto" w:fill="EAB308"/>
        </w:rPr>
        <w:t>  FIX  </w:t>
      </w:r>
    </w:p>
    <w:p>
      <w:pPr>
        <w:pStyle w:val="Heading3"/>
      </w:pPr>
      <w:r>
        <w:t>Cambios:</w:t>
      </w:r>
    </w:p>
    <w:p>
      <w:pPr>
        <w:ind w:left="360" w:hanging="180"/>
        <w:spacing w:after="40"/>
      </w:pPr>
      <w:r>
        <w:t xml:space="preserve">•  </w:t>
      </w:r>
      <w:r>
        <w:t xml:space="preserve">Correcciones de CSS y breakpoints para que el visor Leaflet se renderice correctamente en pantallas pequeñas.</w:t>
      </w:r>
    </w:p>
    <w:p>
      <w:pPr>
        <w:ind w:left="360" w:hanging="180"/>
        <w:spacing w:after="40"/>
      </w:pPr>
      <w:r>
        <w:t xml:space="preserve">•  </w:t>
      </w:r>
      <w:r>
        <w:t xml:space="preserve">Sidebar colapsable, grillas adaptables y popups optimizados para touch.</w:t>
      </w:r>
    </w:p>
    <w:p>
      <w:r>
        <w:br w:type="page"/>
      </w:r>
    </w:p>
    <w:p>
      <w:pPr>
        <w:pStyle w:val="Heading2"/>
      </w:pPr>
      <w:r>
        <w:t>2026-06-19  ·  1c58869  ·  FEAT (landing)</w:t>
      </w:r>
    </w:p>
    <w:p>
      <w:pPr/>
      <w:r>
        <w:rPr>
          <w:b/>
        </w:rPr>
        <w:t xml:space="preserve">landing institucional responsive propia</w:t>
      </w:r>
    </w:p>
    <w:p>
      <w:pPr>
        <w:spacing w:after="60"/>
      </w:pPr>
      <w:r>
        <w:rPr>
          <w:b/>
          <w:color w:val="FFFFFF"/>
          <w:shd w:val="clear" w:color="auto" w:fill="16A34A"/>
        </w:rPr>
        <w:t>  FEAT  </w:t>
      </w:r>
    </w:p>
    <w:p>
      <w:pPr>
        <w:pStyle w:val="Heading3"/>
      </w:pPr>
      <w:r>
        <w:t>Cambios:</w:t>
      </w:r>
    </w:p>
    <w:p>
      <w:pPr>
        <w:ind w:left="360" w:hanging="180"/>
        <w:spacing w:after="40"/>
      </w:pPr>
      <w:r>
        <w:t xml:space="preserve">•  </w:t>
      </w:r>
      <w:r>
        <w:t xml:space="preserve">Nueva página de aterrizaje responsive (mobile-first) con identidad institucional C.R.A.</w:t>
      </w:r>
    </w:p>
    <w:p>
      <w:pPr>
        <w:ind w:left="360" w:hanging="180"/>
        <w:spacing w:after="40"/>
      </w:pPr>
      <w:r>
        <w:t xml:space="preserve">•  </w:t>
      </w:r>
      <w:r>
        <w:t xml:space="preserve">Integra el botón de acceso al visor y la sección de componentes.</w:t>
      </w:r>
    </w:p>
    <w:p>
      <w:r>
        <w:br w:type="page"/>
      </w:r>
    </w:p>
    <w:p>
      <w:pPr>
        <w:pStyle w:val="Heading2"/>
      </w:pPr>
      <w:r>
        <w:t>2026-06-19  ·  bc573fa  ·  FEAT (landing)</w:t>
      </w:r>
    </w:p>
    <w:p>
      <w:pPr/>
      <w:r>
        <w:rPr>
          <w:b/>
        </w:rPr>
        <w:t xml:space="preserve">video de muestra en el hero (reemplaza la imagen)</w:t>
      </w:r>
    </w:p>
    <w:p>
      <w:pPr>
        <w:spacing w:after="60"/>
      </w:pPr>
      <w:r>
        <w:rPr>
          <w:b/>
          <w:color w:val="FFFFFF"/>
          <w:shd w:val="clear" w:color="auto" w:fill="16A34A"/>
        </w:rPr>
        <w:t>  FEAT  </w:t>
      </w:r>
    </w:p>
    <w:p>
      <w:pPr>
        <w:pStyle w:val="Heading3"/>
      </w:pPr>
      <w:r>
        <w:t>Cambios:</w:t>
      </w:r>
    </w:p>
    <w:p>
      <w:pPr>
        <w:ind w:left="360" w:hanging="180"/>
        <w:spacing w:after="40"/>
      </w:pPr>
      <w:r>
        <w:t xml:space="preserve">•  </w:t>
      </w:r>
      <w:r>
        <w:t xml:space="preserve">Reemplaza la imagen estática del hero de la landing institucional por un video de muestra del visor en funcionamiento.</w:t>
      </w:r>
    </w:p>
    <w:p>
      <w:pPr>
        <w:ind w:left="360" w:hanging="180"/>
        <w:spacing w:after="40"/>
      </w:pPr>
      <w:r>
        <w:t xml:space="preserve">•  </w:t>
      </w:r>
      <w:r>
        <w:t xml:space="preserve">Mejora la primera impresión y el engagement del visitante institucional.</w:t>
      </w:r>
    </w:p>
    <w:p>
      <w:r>
        <w:br w:type="page"/>
      </w:r>
    </w:p>
    <w:p>
      <w:pPr>
        <w:pStyle w:val="Heading1"/>
      </w:pPr>
      <w:r>
        <w:t>3. Hitos operativos del proyecto</w:t>
      </w:r>
    </w:p>
    <w:p>
      <w:pPr/>
      <w:r>
        <w:rPr/>
        <w:t xml:space="preserve">Los siguientes hitos operativos resumen los momentos clave del proyecto desde la óptica de la operación técnica y de despliegue. No son releases formales sino momentos verificables que el equipo técnico puede demostrar.</w:t>
      </w:r>
    </w:p>
    <w:tbl>
      <w:tblPr>
        <w:tblW w:w="5000" w:type="pct"/>
        <w:tblBorders>
          <w:top w:val="single" w:color="1F3A5F" w:sz="8" w:space="0"/>
          <w:bottom w:val="single" w:color="1F3A5F" w:sz="8" w:space="0"/>
          <w:left w:val="none" w:color="auto" w:sz="0" w:space="0"/>
          <w:right w:val="none" w:color="auto" w:sz="0" w:space="0"/>
          <w:insideH w:val="single" w:color="D9D9D9" w:sz="4" w:space="0"/>
          <w:insideV w:val="none" w:color="auto" w:sz="0" w:space="0"/>
        </w:tblBorders>
        <w:tblCellMar>
          <w:top w:w="40" w:type="dxa"/>
          <w:start w:w="80" w:type="dxa"/>
          <w:bottom w:w="40" w:type="dxa"/>
          <w:end w:w="80" w:type="dxa"/>
        </w:tblCellMar>
      </w:tblPr>
      <w:tblGrid>
        <w:gridCol w:w="3008"/>
        <w:gridCol w:w="3008"/>
        <w:gridCol w:w="3008"/>
      </w:tblGrid>
      <w:tr>
        <w:tc>
          <w:tcPr>
            <w:tcW w:w="0" w:type="auto"/>
            <w:shd w:val="clear" w:color="auto" w:fill="1F3A5F"/>
            <w:tcBorders>
              <w:bottom w:val="single" w:color="1F3A5F" w:sz="8" w:space="0"/>
            </w:tcBorders>
          </w:tcPr>
          <w:p>
            <w:pPr>
              <w:spacing w:after="0"/>
            </w:pPr>
            <w:r>
              <w:rPr>
                <w:b/>
                <w:color w:val="FFFFFF"/>
                <w:sz w:val="20"/>
              </w:rPr>
              <w:t>Fecha</w:t>
            </w:r>
          </w:p>
        </w:tc>
        <w:tc>
          <w:tcPr>
            <w:tcW w:w="0" w:type="auto"/>
            <w:shd w:val="clear" w:color="auto" w:fill="1F3A5F"/>
            <w:tcBorders>
              <w:bottom w:val="single" w:color="1F3A5F" w:sz="8" w:space="0"/>
            </w:tcBorders>
          </w:tcPr>
          <w:p>
            <w:pPr>
              <w:spacing w:after="0"/>
            </w:pPr>
            <w:r>
              <w:rPr>
                <w:b/>
                <w:color w:val="FFFFFF"/>
                <w:sz w:val="20"/>
              </w:rPr>
              <w:t>Hito</w:t>
            </w:r>
          </w:p>
        </w:tc>
        <w:tc>
          <w:tcPr>
            <w:tcW w:w="0" w:type="auto"/>
            <w:shd w:val="clear" w:color="auto" w:fill="1F3A5F"/>
            <w:tcBorders>
              <w:bottom w:val="single" w:color="1F3A5F" w:sz="8" w:space="0"/>
            </w:tcBorders>
          </w:tcPr>
          <w:p>
            <w:pPr>
              <w:spacing w:after="0"/>
            </w:pPr>
            <w:r>
              <w:rPr>
                <w:b/>
                <w:color w:val="FFFFFF"/>
                <w:sz w:val="20"/>
              </w:rPr>
              <w:t>Verificación</w:t>
            </w:r>
          </w:p>
        </w:tc>
      </w:tr>
      <w:tr>
        <w:tc>
          <w:tcPr>
            <w:tcW w:w="0" w:type="auto"/>
          </w:tcPr>
          <w:p>
            <w:pPr>
              <w:spacing w:after="0"/>
            </w:pPr>
            <w:r>
              <w:t xml:space="preserve">2026-05-29</w:t>
            </w:r>
          </w:p>
        </w:tc>
        <w:tc>
          <w:tcPr>
            <w:tcW w:w="0" w:type="auto"/>
          </w:tcPr>
          <w:p>
            <w:pPr>
              <w:spacing w:after="0"/>
            </w:pPr>
            <w:r>
              <w:t xml:space="preserve">Versión inicial del esquema PostGIS en producción</w:t>
            </w:r>
          </w:p>
        </w:tc>
        <w:tc>
          <w:tcPr>
            <w:tcW w:w="0" w:type="auto"/>
          </w:tcPr>
          <w:p>
            <w:pPr>
              <w:spacing w:after="0"/>
            </w:pPr>
            <w:r>
              <w:t xml:space="preserve">Migración 01 ejecutada; eco_restauracion.* accesible</w:t>
            </w:r>
          </w:p>
        </w:tc>
      </w:tr>
      <w:tr>
        <w:tc>
          <w:tcPr>
            <w:tcW w:w="0" w:type="auto"/>
            <w:shd w:val="clear" w:color="auto" w:fill="F8FAFC"/>
          </w:tcPr>
          <w:p>
            <w:pPr>
              <w:spacing w:after="0"/>
            </w:pPr>
            <w:r>
              <w:t xml:space="preserve">2026-05-31</w:t>
            </w:r>
          </w:p>
        </w:tc>
        <w:tc>
          <w:tcPr>
            <w:tcW w:w="0" w:type="auto"/>
            <w:shd w:val="clear" w:color="auto" w:fill="F8FAFC"/>
          </w:tcPr>
          <w:p>
            <w:pPr>
              <w:spacing w:after="0"/>
            </w:pPr>
            <w:r>
              <w:t xml:space="preserve">Commit inicial del repositorio</w:t>
            </w:r>
          </w:p>
        </w:tc>
        <w:tc>
          <w:tcPr>
            <w:tcW w:w="0" w:type="auto"/>
            <w:shd w:val="clear" w:color="auto" w:fill="F8FAFC"/>
          </w:tcPr>
          <w:p>
            <w:pPr>
              <w:spacing w:after="0"/>
            </w:pPr>
            <w:r>
              <w:t xml:space="preserve">ec2092d — backup completo + .gitignore</w:t>
            </w:r>
          </w:p>
        </w:tc>
      </w:tr>
      <w:tr>
        <w:tc>
          <w:tcPr>
            <w:tcW w:w="0" w:type="auto"/>
          </w:tcPr>
          <w:p>
            <w:pPr>
              <w:spacing w:after="0"/>
            </w:pPr>
            <w:r>
              <w:t xml:space="preserve">2026-06-09</w:t>
            </w:r>
          </w:p>
        </w:tc>
        <w:tc>
          <w:tcPr>
            <w:tcW w:w="0" w:type="auto"/>
          </w:tcPr>
          <w:p>
            <w:pPr>
              <w:spacing w:after="0"/>
            </w:pPr>
            <w:r>
              <w:t xml:space="preserve">Endpoint /api/resumen con dimensión de calidad</w:t>
            </w:r>
          </w:p>
        </w:tc>
        <w:tc>
          <w:tcPr>
            <w:tcW w:w="0" w:type="auto"/>
          </w:tcPr>
          <w:p>
            <w:pPr>
              <w:spacing w:after="0"/>
            </w:pPr>
            <w:r>
              <w:t xml:space="preserve">Backend: a0c79bc — ICAM</w:t>
            </w:r>
          </w:p>
        </w:tc>
      </w:tr>
      <w:tr>
        <w:tc>
          <w:tcPr>
            <w:tcW w:w="0" w:type="auto"/>
            <w:shd w:val="clear" w:color="auto" w:fill="F8FAFC"/>
          </w:tcPr>
          <w:p>
            <w:pPr>
              <w:spacing w:after="0"/>
            </w:pPr>
            <w:r>
              <w:t xml:space="preserve">2026-06-10</w:t>
            </w:r>
          </w:p>
        </w:tc>
        <w:tc>
          <w:tcPr>
            <w:tcW w:w="0" w:type="auto"/>
            <w:shd w:val="clear" w:color="auto" w:fill="F8FAFC"/>
          </w:tcPr>
          <w:p>
            <w:pPr>
              <w:spacing w:after="0"/>
            </w:pPr>
            <w:r>
              <w:t xml:space="preserve">Rediseño del visor estilo ICAM + datos del proyecto</w:t>
            </w:r>
          </w:p>
        </w:tc>
        <w:tc>
          <w:tcPr>
            <w:tcW w:w="0" w:type="auto"/>
            <w:shd w:val="clear" w:color="auto" w:fill="F8FAFC"/>
          </w:tcPr>
          <w:p>
            <w:pPr>
              <w:spacing w:after="0"/>
            </w:pPr>
            <w:r>
              <w:t xml:space="preserve">8f9e65f + 530a414 + 16f0869</w:t>
            </w:r>
          </w:p>
        </w:tc>
      </w:tr>
      <w:tr>
        <w:tc>
          <w:tcPr>
            <w:tcW w:w="0" w:type="auto"/>
          </w:tcPr>
          <w:p>
            <w:pPr>
              <w:spacing w:after="0"/>
            </w:pPr>
            <w:r>
              <w:t xml:space="preserve">2026-06-10</w:t>
            </w:r>
          </w:p>
        </w:tc>
        <w:tc>
          <w:tcPr>
            <w:tcW w:w="0" w:type="auto"/>
          </w:tcPr>
          <w:p>
            <w:pPr>
              <w:spacing w:after="0"/>
            </w:pPr>
            <w:r>
              <w:t xml:space="preserve">Geovisor F1: capas conmutables, filtros, búsqueda</w:t>
            </w:r>
          </w:p>
        </w:tc>
        <w:tc>
          <w:tcPr>
            <w:tcW w:w="0" w:type="auto"/>
          </w:tcPr>
          <w:p>
            <w:pPr>
              <w:spacing w:after="0"/>
            </w:pPr>
            <w:r>
              <w:t xml:space="preserve">5158cf1</w:t>
            </w:r>
          </w:p>
        </w:tc>
      </w:tr>
      <w:tr>
        <w:tc>
          <w:tcPr>
            <w:tcW w:w="0" w:type="auto"/>
            <w:shd w:val="clear" w:color="auto" w:fill="F8FAFC"/>
          </w:tcPr>
          <w:p>
            <w:pPr>
              <w:spacing w:after="0"/>
            </w:pPr>
            <w:r>
              <w:t xml:space="preserve">2026-06-10</w:t>
            </w:r>
          </w:p>
        </w:tc>
        <w:tc>
          <w:tcPr>
            <w:tcW w:w="0" w:type="auto"/>
            <w:shd w:val="clear" w:color="auto" w:fill="F8FAFC"/>
          </w:tcPr>
          <w:p>
            <w:pPr>
              <w:spacing w:after="0"/>
            </w:pPr>
            <w:r>
              <w:t xml:space="preserve">Cierre de brechas contractuales (auth, reportes, geovisor, infra)</w:t>
            </w:r>
          </w:p>
        </w:tc>
        <w:tc>
          <w:tcPr>
            <w:tcW w:w="0" w:type="auto"/>
            <w:shd w:val="clear" w:color="auto" w:fill="F8FAFC"/>
          </w:tcPr>
          <w:p>
            <w:pPr>
              <w:spacing w:after="0"/>
            </w:pPr>
            <w:r>
              <w:t xml:space="preserve">989b447</w:t>
            </w:r>
          </w:p>
        </w:tc>
      </w:tr>
      <w:tr>
        <w:tc>
          <w:tcPr>
            <w:tcW w:w="0" w:type="auto"/>
          </w:tcPr>
          <w:p>
            <w:pPr>
              <w:spacing w:after="0"/>
            </w:pPr>
            <w:r>
              <w:t xml:space="preserve">2026-06-11</w:t>
            </w:r>
          </w:p>
        </w:tc>
        <w:tc>
          <w:tcPr>
            <w:tcW w:w="0" w:type="auto"/>
          </w:tcPr>
          <w:p>
            <w:pPr>
              <w:spacing w:after="0"/>
            </w:pPr>
            <w:r>
              <w:t xml:space="preserve">Coberturas Corine del dron en geodatabase, API y visor</w:t>
            </w:r>
          </w:p>
        </w:tc>
        <w:tc>
          <w:tcPr>
            <w:tcW w:w="0" w:type="auto"/>
          </w:tcPr>
          <w:p>
            <w:pPr>
              <w:spacing w:after="0"/>
            </w:pPr>
            <w:r>
              <w:t xml:space="preserve">a110d9a — 11 clases, 96,3 ha</w:t>
            </w:r>
          </w:p>
        </w:tc>
      </w:tr>
      <w:tr>
        <w:tc>
          <w:tcPr>
            <w:tcW w:w="0" w:type="auto"/>
            <w:shd w:val="clear" w:color="auto" w:fill="F8FAFC"/>
          </w:tcPr>
          <w:p>
            <w:pPr>
              <w:spacing w:after="0"/>
            </w:pPr>
            <w:r>
              <w:t xml:space="preserve">2026-06-11</w:t>
            </w:r>
          </w:p>
        </w:tc>
        <w:tc>
          <w:tcPr>
            <w:tcW w:w="0" w:type="auto"/>
            <w:shd w:val="clear" w:color="auto" w:fill="F8FAFC"/>
          </w:tcPr>
          <w:p>
            <w:pPr>
              <w:spacing w:after="0"/>
            </w:pPr>
            <w:r>
              <w:t xml:space="preserve">Ortofoto del dron como capa XYZ en el visor</w:t>
            </w:r>
          </w:p>
        </w:tc>
        <w:tc>
          <w:tcPr>
            <w:tcW w:w="0" w:type="auto"/>
            <w:shd w:val="clear" w:color="auto" w:fill="F8FAFC"/>
          </w:tcPr>
          <w:p>
            <w:pPr>
              <w:spacing w:after="0"/>
            </w:pPr>
            <w:r>
              <w:t xml:space="preserve">c110d4b — 2.378 tiles</w:t>
            </w:r>
          </w:p>
        </w:tc>
      </w:tr>
      <w:tr>
        <w:tc>
          <w:tcPr>
            <w:tcW w:w="0" w:type="auto"/>
          </w:tcPr>
          <w:p>
            <w:pPr>
              <w:spacing w:after="0"/>
            </w:pPr>
            <w:r>
              <w:t xml:space="preserve">2026-06-11</w:t>
            </w:r>
          </w:p>
        </w:tc>
        <w:tc>
          <w:tcPr>
            <w:tcW w:w="0" w:type="auto"/>
          </w:tcPr>
          <w:p>
            <w:pPr>
              <w:spacing w:after="0"/>
            </w:pPr>
            <w:r>
              <w:t xml:space="preserve">CRUD de monitoreos + cambio de contraseña</w:t>
            </w:r>
          </w:p>
        </w:tc>
        <w:tc>
          <w:tcPr>
            <w:tcW w:w="0" w:type="auto"/>
          </w:tcPr>
          <w:p>
            <w:pPr>
              <w:spacing w:after="0"/>
            </w:pPr>
            <w:r>
              <w:t xml:space="preserve">19d7e1e — /api/monitoreos</w:t>
            </w:r>
          </w:p>
        </w:tc>
      </w:tr>
      <w:tr>
        <w:tc>
          <w:tcPr>
            <w:tcW w:w="0" w:type="auto"/>
            <w:shd w:val="clear" w:color="auto" w:fill="F8FAFC"/>
          </w:tcPr>
          <w:p>
            <w:pPr>
              <w:spacing w:after="0"/>
            </w:pPr>
            <w:r>
              <w:t xml:space="preserve">2026-06-12</w:t>
            </w:r>
          </w:p>
        </w:tc>
        <w:tc>
          <w:tcPr>
            <w:tcW w:w="0" w:type="auto"/>
            <w:shd w:val="clear" w:color="auto" w:fill="F8FAFC"/>
          </w:tcPr>
          <w:p>
            <w:pPr>
              <w:spacing w:after="0"/>
            </w:pPr>
            <w:r>
              <w:t xml:space="preserve">Anexo H (registro fotográfico) + informe actualizado</w:t>
            </w:r>
          </w:p>
        </w:tc>
        <w:tc>
          <w:tcPr>
            <w:tcW w:w="0" w:type="auto"/>
            <w:shd w:val="clear" w:color="auto" w:fill="F8FAFC"/>
          </w:tcPr>
          <w:p>
            <w:pPr>
              <w:spacing w:after="0"/>
            </w:pPr>
            <w:r>
              <w:t xml:space="preserve">2092d8c</w:t>
            </w:r>
          </w:p>
        </w:tc>
      </w:tr>
      <w:tr>
        <w:tc>
          <w:tcPr>
            <w:tcW w:w="0" w:type="auto"/>
          </w:tcPr>
          <w:p>
            <w:pPr>
              <w:spacing w:after="0"/>
            </w:pPr>
            <w:r>
              <w:t xml:space="preserve">2026-06-17</w:t>
            </w:r>
          </w:p>
        </w:tc>
        <w:tc>
          <w:tcPr>
            <w:tcW w:w="0" w:type="auto"/>
          </w:tcPr>
          <w:p>
            <w:pPr>
              <w:spacing w:after="0"/>
            </w:pPr>
            <w:r>
              <w:t xml:space="preserve">Landing institucional + importador OGR + IGAC WMS</w:t>
            </w:r>
          </w:p>
        </w:tc>
        <w:tc>
          <w:tcPr>
            <w:tcW w:w="0" w:type="auto"/>
          </w:tcPr>
          <w:p>
            <w:pPr>
              <w:spacing w:after="0"/>
            </w:pPr>
            <w:r>
              <w:t xml:space="preserve">5170899 + 7acf891 + 3e5714e</w:t>
            </w:r>
          </w:p>
        </w:tc>
      </w:tr>
      <w:tr>
        <w:tc>
          <w:tcPr>
            <w:tcW w:w="0" w:type="auto"/>
            <w:shd w:val="clear" w:color="auto" w:fill="F8FAFC"/>
          </w:tcPr>
          <w:p>
            <w:pPr>
              <w:spacing w:after="0"/>
            </w:pPr>
            <w:r>
              <w:t xml:space="preserve">2026-06-17</w:t>
            </w:r>
          </w:p>
        </w:tc>
        <w:tc>
          <w:tcPr>
            <w:tcW w:w="0" w:type="auto"/>
            <w:shd w:val="clear" w:color="auto" w:fill="F8FAFC"/>
          </w:tcPr>
          <w:p>
            <w:pPr>
              <w:spacing w:after="0"/>
            </w:pPr>
            <w:r>
              <w:t xml:space="preserve">Despliegue en VPS Hetzner (Docker + Traefik + TLS)</w:t>
            </w:r>
          </w:p>
        </w:tc>
        <w:tc>
          <w:tcPr>
            <w:tcW w:w="0" w:type="auto"/>
            <w:shd w:val="clear" w:color="auto" w:fill="F8FAFC"/>
          </w:tcPr>
          <w:p>
            <w:pPr>
              <w:spacing w:after="0"/>
            </w:pPr>
            <w:r>
              <w:t xml:space="preserve">2d551f6 — geodatabase.mcconsultorias.com.co</w:t>
            </w:r>
          </w:p>
        </w:tc>
      </w:tr>
      <w:tr>
        <w:tc>
          <w:tcPr>
            <w:tcW w:w="0" w:type="auto"/>
          </w:tcPr>
          <w:p>
            <w:pPr>
              <w:spacing w:after="0"/>
            </w:pPr>
            <w:r>
              <w:t xml:space="preserve">2026-06-18</w:t>
            </w:r>
          </w:p>
        </w:tc>
        <w:tc>
          <w:tcPr>
            <w:tcW w:w="0" w:type="auto"/>
          </w:tcPr>
          <w:p>
            <w:pPr>
              <w:spacing w:after="0"/>
            </w:pPr>
            <w:r>
              <w:t xml:space="preserve">Visor responsive (fix móvil)</w:t>
            </w:r>
          </w:p>
        </w:tc>
        <w:tc>
          <w:tcPr>
            <w:tcW w:w="0" w:type="auto"/>
          </w:tcPr>
          <w:p>
            <w:pPr>
              <w:spacing w:after="0"/>
            </w:pPr>
            <w:r>
              <w:t xml:space="preserve">36a488e</w:t>
            </w:r>
          </w:p>
        </w:tc>
      </w:tr>
      <w:tr>
        <w:tc>
          <w:tcPr>
            <w:tcW w:w="0" w:type="auto"/>
            <w:shd w:val="clear" w:color="auto" w:fill="F8FAFC"/>
          </w:tcPr>
          <w:p>
            <w:pPr>
              <w:spacing w:after="0"/>
            </w:pPr>
            <w:r>
              <w:t xml:space="preserve">2026-06-19</w:t>
            </w:r>
          </w:p>
        </w:tc>
        <w:tc>
          <w:tcPr>
            <w:tcW w:w="0" w:type="auto"/>
            <w:shd w:val="clear" w:color="auto" w:fill="F8FAFC"/>
          </w:tcPr>
          <w:p>
            <w:pPr>
              <w:spacing w:after="0"/>
            </w:pPr>
            <w:r>
              <w:t xml:space="preserve">Landing institucional responsive propia</w:t>
            </w:r>
          </w:p>
        </w:tc>
        <w:tc>
          <w:tcPr>
            <w:tcW w:w="0" w:type="auto"/>
            <w:shd w:val="clear" w:color="auto" w:fill="F8FAFC"/>
          </w:tcPr>
          <w:p>
            <w:pPr>
              <w:spacing w:after="0"/>
            </w:pPr>
            <w:r>
              <w:t xml:space="preserve">1c58869</w:t>
            </w:r>
          </w:p>
        </w:tc>
      </w:tr>
      <w:tr>
        <w:tc>
          <w:tcPr>
            <w:tcW w:w="0" w:type="auto"/>
          </w:tcPr>
          <w:p>
            <w:pPr>
              <w:spacing w:after="0"/>
            </w:pPr>
            <w:r>
              <w:t xml:space="preserve">2026-06-19</w:t>
            </w:r>
          </w:p>
        </w:tc>
        <w:tc>
          <w:tcPr>
            <w:tcW w:w="0" w:type="auto"/>
          </w:tcPr>
          <w:p>
            <w:pPr>
              <w:spacing w:after="0"/>
            </w:pPr>
            <w:r>
              <w:t xml:space="preserve">Video de muestra en el hero de la landing</w:t>
            </w:r>
          </w:p>
        </w:tc>
        <w:tc>
          <w:tcPr>
            <w:tcW w:w="0" w:type="auto"/>
          </w:tcPr>
          <w:p>
            <w:pPr>
              <w:spacing w:after="0"/>
            </w:pPr>
            <w:r>
              <w:t xml:space="preserve">bc573fa</w:t>
            </w:r>
          </w:p>
        </w:tc>
      </w:tr>
    </w:tbl>
    <w:p>
      <w:r>
        <w:br w:type="page"/>
      </w:r>
    </w:p>
    <w:p>
      <w:pPr>
        <w:pStyle w:val="Heading1"/>
      </w:pPr>
      <w:r>
        <w:t>4. Entorno de producción</w:t>
      </w:r>
    </w:p>
    <w:p>
      <w:pPr>
        <w:pStyle w:val="Heading2"/>
      </w:pPr>
      <w:r>
        <w:t>4.1. Infraestructura</w:t>
      </w:r>
    </w:p>
    <w:tbl>
      <w:tblPr>
        <w:tblW w:w="5000" w:type="pct"/>
        <w:tblBorders>
          <w:top w:val="single" w:color="1F3A5F" w:sz="8" w:space="0"/>
          <w:bottom w:val="single" w:color="1F3A5F" w:sz="8" w:space="0"/>
          <w:left w:val="none" w:color="auto" w:sz="0" w:space="0"/>
          <w:right w:val="none" w:color="auto" w:sz="0" w:space="0"/>
          <w:insideH w:val="single" w:color="D9D9D9" w:sz="4" w:space="0"/>
          <w:insideV w:val="none" w:color="auto" w:sz="0" w:space="0"/>
        </w:tblBorders>
        <w:tblCellMar>
          <w:top w:w="40" w:type="dxa"/>
          <w:start w:w="80" w:type="dxa"/>
          <w:bottom w:w="40" w:type="dxa"/>
          <w:end w:w="80" w:type="dxa"/>
        </w:tblCellMar>
      </w:tblPr>
      <w:tblGrid>
        <w:gridCol w:w="4513"/>
        <w:gridCol w:w="4513"/>
      </w:tblGrid>
      <w:tr>
        <w:tc>
          <w:tcPr>
            <w:tcW w:w="0" w:type="auto"/>
            <w:shd w:val="clear" w:color="auto" w:fill="1F3A5F"/>
            <w:tcBorders>
              <w:bottom w:val="single" w:color="1F3A5F" w:sz="8" w:space="0"/>
            </w:tcBorders>
          </w:tcPr>
          <w:p>
            <w:pPr>
              <w:spacing w:after="0"/>
            </w:pPr>
            <w:r>
              <w:rPr>
                <w:b/>
                <w:color w:val="FFFFFF"/>
                <w:sz w:val="20"/>
              </w:rPr>
              <w:t>Componente</w:t>
            </w:r>
          </w:p>
        </w:tc>
        <w:tc>
          <w:tcPr>
            <w:tcW w:w="0" w:type="auto"/>
            <w:shd w:val="clear" w:color="auto" w:fill="1F3A5F"/>
            <w:tcBorders>
              <w:bottom w:val="single" w:color="1F3A5F" w:sz="8" w:space="0"/>
            </w:tcBorders>
          </w:tcPr>
          <w:p>
            <w:pPr>
              <w:spacing w:after="0"/>
            </w:pPr>
            <w:r>
              <w:rPr>
                <w:b/>
                <w:color w:val="FFFFFF"/>
                <w:sz w:val="20"/>
              </w:rPr>
              <w:t>Detalle</w:t>
            </w:r>
          </w:p>
        </w:tc>
      </w:tr>
      <w:tr>
        <w:tc>
          <w:tcPr>
            <w:tcW w:w="0" w:type="auto"/>
          </w:tcPr>
          <w:p>
            <w:pPr>
              <w:spacing w:after="0"/>
            </w:pPr>
            <w:r>
              <w:t xml:space="preserve">Proveedor VPS</w:t>
            </w:r>
          </w:p>
        </w:tc>
        <w:tc>
          <w:tcPr>
            <w:tcW w:w="0" w:type="auto"/>
          </w:tcPr>
          <w:p>
            <w:pPr>
              <w:spacing w:after="0"/>
            </w:pPr>
            <w:r>
              <w:t xml:space="preserve">Hetzner (Alemania)</w:t>
            </w:r>
          </w:p>
        </w:tc>
      </w:tr>
      <w:tr>
        <w:tc>
          <w:tcPr>
            <w:tcW w:w="0" w:type="auto"/>
            <w:shd w:val="clear" w:color="auto" w:fill="F8FAFC"/>
          </w:tcPr>
          <w:p>
            <w:pPr>
              <w:spacing w:after="0"/>
            </w:pPr>
            <w:r>
              <w:t xml:space="preserve">Sistema operativo</w:t>
            </w:r>
          </w:p>
        </w:tc>
        <w:tc>
          <w:tcPr>
            <w:tcW w:w="0" w:type="auto"/>
            <w:shd w:val="clear" w:color="auto" w:fill="F8FAFC"/>
          </w:tcPr>
          <w:p>
            <w:pPr>
              <w:spacing w:after="0"/>
            </w:pPr>
            <w:r>
              <w:t xml:space="preserve">Ubuntu 22.04 LTS</w:t>
            </w:r>
          </w:p>
        </w:tc>
      </w:tr>
      <w:tr>
        <w:tc>
          <w:tcPr>
            <w:tcW w:w="0" w:type="auto"/>
          </w:tcPr>
          <w:p>
            <w:pPr>
              <w:spacing w:after="0"/>
            </w:pPr>
            <w:r>
              <w:t xml:space="preserve">Contenedores</w:t>
            </w:r>
          </w:p>
        </w:tc>
        <w:tc>
          <w:tcPr>
            <w:tcW w:w="0" w:type="auto"/>
          </w:tcPr>
          <w:p>
            <w:pPr>
              <w:spacing w:after="0"/>
            </w:pPr>
            <w:r>
              <w:t xml:space="preserve">Docker + docker-compose</w:t>
            </w:r>
          </w:p>
        </w:tc>
      </w:tr>
      <w:tr>
        <w:tc>
          <w:tcPr>
            <w:tcW w:w="0" w:type="auto"/>
            <w:shd w:val="clear" w:color="auto" w:fill="F8FAFC"/>
          </w:tcPr>
          <w:p>
            <w:pPr>
              <w:spacing w:after="0"/>
            </w:pPr>
            <w:r>
              <w:t xml:space="preserve">Reverse proxy</w:t>
            </w:r>
          </w:p>
        </w:tc>
        <w:tc>
          <w:tcPr>
            <w:tcW w:w="0" w:type="auto"/>
            <w:shd w:val="clear" w:color="auto" w:fill="F8FAFC"/>
          </w:tcPr>
          <w:p>
            <w:pPr>
              <w:spacing w:after="0"/>
            </w:pPr>
            <w:r>
              <w:t xml:space="preserve">Traefik v2</w:t>
            </w:r>
          </w:p>
        </w:tc>
      </w:tr>
      <w:tr>
        <w:tc>
          <w:tcPr>
            <w:tcW w:w="0" w:type="auto"/>
          </w:tcPr>
          <w:p>
            <w:pPr>
              <w:spacing w:after="0"/>
            </w:pPr>
            <w:r>
              <w:t xml:space="preserve">TLS</w:t>
            </w:r>
          </w:p>
        </w:tc>
        <w:tc>
          <w:tcPr>
            <w:tcW w:w="0" w:type="auto"/>
          </w:tcPr>
          <w:p>
            <w:pPr>
              <w:spacing w:after="0"/>
            </w:pPr>
            <w:r>
              <w:t xml:space="preserve">Let's Encrypt (renovación automática)</w:t>
            </w:r>
          </w:p>
        </w:tc>
      </w:tr>
      <w:tr>
        <w:tc>
          <w:tcPr>
            <w:tcW w:w="0" w:type="auto"/>
            <w:shd w:val="clear" w:color="auto" w:fill="F8FAFC"/>
          </w:tcPr>
          <w:p>
            <w:pPr>
              <w:spacing w:after="0"/>
            </w:pPr>
            <w:r>
              <w:t xml:space="preserve">Dominio</w:t>
            </w:r>
          </w:p>
        </w:tc>
        <w:tc>
          <w:tcPr>
            <w:tcW w:w="0" w:type="auto"/>
            <w:shd w:val="clear" w:color="auto" w:fill="F8FAFC"/>
          </w:tcPr>
          <w:p>
            <w:pPr>
              <w:spacing w:after="0"/>
            </w:pPr>
            <w:r>
              <w:t xml:space="preserve">geodatabase.mcconsultorias.com.co</w:t>
            </w:r>
          </w:p>
        </w:tc>
      </w:tr>
      <w:tr>
        <w:tc>
          <w:tcPr>
            <w:tcW w:w="0" w:type="auto"/>
          </w:tcPr>
          <w:p>
            <w:pPr>
              <w:spacing w:after="0"/>
            </w:pPr>
            <w:r>
              <w:t xml:space="preserve">Backups</w:t>
            </w:r>
          </w:p>
        </w:tc>
        <w:tc>
          <w:tcPr>
            <w:tcW w:w="0" w:type="auto"/>
          </w:tcPr>
          <w:p>
            <w:pPr>
              <w:spacing w:after="0"/>
            </w:pPr>
            <w:r>
              <w:t xml:space="preserve">Automáticos diarios (script backup_db.sh)</w:t>
            </w:r>
          </w:p>
        </w:tc>
      </w:tr>
    </w:tbl>
    <w:p>
      <w:pPr>
        <w:pStyle w:val="Heading2"/>
      </w:pPr>
      <w:r>
        <w:t>4.2. Stack tecnológico</w:t>
      </w:r>
    </w:p>
    <w:tbl>
      <w:tblPr>
        <w:tblW w:w="5000" w:type="pct"/>
        <w:tblBorders>
          <w:top w:val="single" w:color="1F3A5F" w:sz="8" w:space="0"/>
          <w:bottom w:val="single" w:color="1F3A5F" w:sz="8" w:space="0"/>
          <w:left w:val="none" w:color="auto" w:sz="0" w:space="0"/>
          <w:right w:val="none" w:color="auto" w:sz="0" w:space="0"/>
          <w:insideH w:val="single" w:color="D9D9D9" w:sz="4" w:space="0"/>
          <w:insideV w:val="none" w:color="auto" w:sz="0" w:space="0"/>
        </w:tblBorders>
        <w:tblCellMar>
          <w:top w:w="40" w:type="dxa"/>
          <w:start w:w="80" w:type="dxa"/>
          <w:bottom w:w="40" w:type="dxa"/>
          <w:end w:w="80" w:type="dxa"/>
        </w:tblCellMar>
      </w:tblPr>
      <w:tblGrid>
        <w:gridCol w:w="4513"/>
        <w:gridCol w:w="4513"/>
      </w:tblGrid>
      <w:tr>
        <w:tc>
          <w:tcPr>
            <w:tcW w:w="0" w:type="auto"/>
            <w:shd w:val="clear" w:color="auto" w:fill="1F3A5F"/>
            <w:tcBorders>
              <w:bottom w:val="single" w:color="1F3A5F" w:sz="8" w:space="0"/>
            </w:tcBorders>
          </w:tcPr>
          <w:p>
            <w:pPr>
              <w:spacing w:after="0"/>
            </w:pPr>
            <w:r>
              <w:rPr>
                <w:b/>
                <w:color w:val="FFFFFF"/>
                <w:sz w:val="20"/>
              </w:rPr>
              <w:t>Capa</w:t>
            </w:r>
          </w:p>
        </w:tc>
        <w:tc>
          <w:tcPr>
            <w:tcW w:w="0" w:type="auto"/>
            <w:shd w:val="clear" w:color="auto" w:fill="1F3A5F"/>
            <w:tcBorders>
              <w:bottom w:val="single" w:color="1F3A5F" w:sz="8" w:space="0"/>
            </w:tcBorders>
          </w:tcPr>
          <w:p>
            <w:pPr>
              <w:spacing w:after="0"/>
            </w:pPr>
            <w:r>
              <w:rPr>
                <w:b/>
                <w:color w:val="FFFFFF"/>
                <w:sz w:val="20"/>
              </w:rPr>
              <w:t>Tecnología</w:t>
            </w:r>
          </w:p>
        </w:tc>
      </w:tr>
      <w:tr>
        <w:tc>
          <w:tcPr>
            <w:tcW w:w="0" w:type="auto"/>
          </w:tcPr>
          <w:p>
            <w:pPr>
              <w:spacing w:after="0"/>
            </w:pPr>
            <w:r>
              <w:t xml:space="preserve">Backend</w:t>
            </w:r>
          </w:p>
        </w:tc>
        <w:tc>
          <w:tcPr>
            <w:tcW w:w="0" w:type="auto"/>
          </w:tcPr>
          <w:p>
            <w:pPr>
              <w:spacing w:after="0"/>
            </w:pPr>
            <w:r>
              <w:t xml:space="preserve">Go 1.22 + Fiber v2.52.13 + lib/pq</w:t>
            </w:r>
          </w:p>
        </w:tc>
      </w:tr>
      <w:tr>
        <w:tc>
          <w:tcPr>
            <w:tcW w:w="0" w:type="auto"/>
            <w:shd w:val="clear" w:color="auto" w:fill="F8FAFC"/>
          </w:tcPr>
          <w:p>
            <w:pPr>
              <w:spacing w:after="0"/>
            </w:pPr>
            <w:r>
              <w:t xml:space="preserve">Frontend</w:t>
            </w:r>
          </w:p>
        </w:tc>
        <w:tc>
          <w:tcPr>
            <w:tcW w:w="0" w:type="auto"/>
            <w:shd w:val="clear" w:color="auto" w:fill="F8FAFC"/>
          </w:tcPr>
          <w:p>
            <w:pPr>
              <w:spacing w:after="0"/>
            </w:pPr>
            <w:r>
              <w:t xml:space="preserve">React 19 + TypeScript 5 + Vite + Leaflet 5</w:t>
            </w:r>
          </w:p>
        </w:tc>
      </w:tr>
      <w:tr>
        <w:tc>
          <w:tcPr>
            <w:tcW w:w="0" w:type="auto"/>
          </w:tcPr>
          <w:p>
            <w:pPr>
              <w:spacing w:after="0"/>
            </w:pPr>
            <w:r>
              <w:t xml:space="preserve">Base de datos</w:t>
            </w:r>
          </w:p>
        </w:tc>
        <w:tc>
          <w:tcPr>
            <w:tcW w:w="0" w:type="auto"/>
          </w:tcPr>
          <w:p>
            <w:pPr>
              <w:spacing w:after="0"/>
            </w:pPr>
            <w:r>
              <w:t xml:space="preserve">PostgreSQL 15 + PostGIS 3.4</w:t>
            </w:r>
          </w:p>
        </w:tc>
      </w:tr>
      <w:tr>
        <w:tc>
          <w:tcPr>
            <w:tcW w:w="0" w:type="auto"/>
            <w:shd w:val="clear" w:color="auto" w:fill="F8FAFC"/>
          </w:tcPr>
          <w:p>
            <w:pPr>
              <w:spacing w:after="0"/>
            </w:pPr>
            <w:r>
              <w:t xml:space="preserve">Cache / Proxy</w:t>
            </w:r>
          </w:p>
        </w:tc>
        <w:tc>
          <w:tcPr>
            <w:tcW w:w="0" w:type="auto"/>
            <w:shd w:val="clear" w:color="auto" w:fill="F8FAFC"/>
          </w:tcPr>
          <w:p>
            <w:pPr>
              <w:spacing w:after="0"/>
            </w:pPr>
            <w:r>
              <w:t xml:space="preserve">Traefik (TLS, headers, rate-limit básico)</w:t>
            </w:r>
          </w:p>
        </w:tc>
      </w:tr>
      <w:tr>
        <w:tc>
          <w:tcPr>
            <w:tcW w:w="0" w:type="auto"/>
          </w:tcPr>
          <w:p>
            <w:pPr>
              <w:spacing w:after="0"/>
            </w:pPr>
            <w:r>
              <w:t xml:space="preserve">Geoprocesamiento</w:t>
            </w:r>
          </w:p>
        </w:tc>
        <w:tc>
          <w:tcPr>
            <w:tcW w:w="0" w:type="auto"/>
          </w:tcPr>
          <w:p>
            <w:pPr>
              <w:spacing w:after="0"/>
            </w:pPr>
            <w:r>
              <w:t xml:space="preserve">GDAL/OGR + gdal2tiles</w:t>
            </w:r>
          </w:p>
        </w:tc>
      </w:tr>
    </w:tbl>
    <w:p>
      <w:pPr>
        <w:pStyle w:val="Heading2"/>
      </w:pPr>
      <w:r>
        <w:t>4.3. URL operativa</w:t>
      </w:r>
    </w:p>
    <w:p>
      <w:pPr/>
      <w:r>
        <w:rPr>
          <w:b/>
        </w:rPr>
        <w:t xml:space="preserve">Plataforma: https://geodatabase.mcconsultorias.com.co</w:t>
      </w:r>
    </w:p>
    <w:p>
      <w:pPr/>
      <w:r>
        <w:rPr/>
        <w:t xml:space="preserve">API base: https://geodatabase.mcconsultorias.com.co/api/</w:t>
      </w:r>
    </w:p>
    <w:p>
      <w:pPr/>
      <w:r>
        <w:rPr/>
        <w:t xml:space="preserve">Health check: https://geodatabase.mcconsultorias.com.co/health</w:t>
      </w:r>
    </w:p>
    <w:p>
      <w:pPr/>
      <w:r>
        <w:rPr/>
        <w:t xml:space="preserve">Repositorio: local (código fuente versionado, control de cambios auditables).</w:t>
      </w:r>
    </w:p>
    <w:p>
      <w:r>
        <w:br w:type="page"/>
      </w:r>
    </w:p>
    <w:p>
      <w:pPr>
        <w:pStyle w:val="Heading1"/>
      </w:pPr>
      <w:r>
        <w:t>5. Procedimiento de reproducción de la bitácora</w:t>
      </w:r>
    </w:p>
    <w:p>
      <w:pPr/>
      <w:r>
        <w:rPr/>
        <w:t xml:space="preserve">Cualquier operador puede reproducir el listado de commits con el siguiente comando:</w:t>
      </w:r>
    </w:p>
    <w:p>
      <w:pPr/>
      <w:r>
        <w:rPr>
          <w:i/>
        </w:rPr>
        <w:t xml:space="preserve">git log --pretty=format:'%h | %ad | %s' --date=short</w:t>
      </w:r>
    </w:p>
    <w:p>
      <w:pPr/>
      <w:r>
        <w:rPr/>
        <w:t xml:space="preserve">Para obtener el detalle ampliado de un commit específico (mensaje completo, archivos modificados, diff):</w:t>
      </w:r>
    </w:p>
    <w:p>
      <w:pPr/>
      <w:r>
        <w:rPr>
          <w:i/>
        </w:rPr>
        <w:t xml:space="preserve">git show &lt;hash&gt;           # ej: git show bc573fa</w:t>
      </w:r>
    </w:p>
    <w:p>
      <w:pPr/>
      <w:r>
        <w:rPr/>
        <w:t xml:space="preserve">Para listar los archivos modificados entre dos commits:</w:t>
      </w:r>
    </w:p>
    <w:p>
      <w:pPr/>
      <w:r>
        <w:rPr>
          <w:i/>
        </w:rPr>
        <w:t xml:space="preserve">git diff --name-status &lt;hash-inicial&gt;..&lt;hash-final&gt;</w:t>
      </w:r>
    </w:p>
    <w:p>
      <w:pPr/>
      <w:r>
        <w:rPr/>
        <w:t xml:space="preserve"> </w:t>
      </w:r>
    </w:p>
    <w:p>
      <w:pPr/>
      <w:r>
        <w:rPr>
          <w:i/>
        </w:rPr>
        <w:t xml:space="preserve">Bitácora generada el 24 de junio de 2026 a partir del historial de Git del repositorio. Este documento constituye el Anexo 4 de la Solicitud de Desembolso de la cláusula 3.2 del Contrato UTL:001.</w:t>
      </w:r>
    </w:p>
    <w:sectPr>
      <w:pgSz w:w="11906" w:h="16838"/>
      <w:pgMar w:top="1440" w:right="1440" w:bottom="1440" w:left="1440" w:header="720" w:footer="720" w:gutter="0"/>
      <w:headerReference xmlns:r="http://schemas.openxmlformats.org/officeDocument/2006/relationships" w:type="default" r:id="Rd4385d7949fc439d"/>
      <w:footerReference xmlns:r="http://schemas.openxmlformats.org/officeDocument/2006/relationships" w:type="default" r:id="R69ead14913874632"/>
    </w:sectPr>
  </w:body>
</w:document>
</file>

<file path=word/footer1.xml><?xml version="1.0" encoding="utf-8"?>
<w:ftr xmlns:w="http://schemas.openxmlformats.org/wordprocessingml/2006/main">
  <w:tbl>
    <w:tblPr>
      <w:tblW w:w="5000" w:type="pct"/>
      <w:tblBorders>
        <w:top w:val="single" w:color="2E8B8B" w:sz="4" w:space="0"/>
        <w:bottom w:val="none" w:color="auto" w:sz="0" w:space="0"/>
        <w:left w:val="none" w:color="auto" w:sz="0" w:space="0"/>
        <w:right w:val="none" w:color="auto" w:sz="0" w:space="0"/>
        <w:insideH w:val="none" w:color="auto" w:sz="0" w:space="0"/>
        <w:insideV w:val="none" w:color="auto" w:sz="0" w:space="0"/>
      </w:tblBorders>
      <w:tblCellMar>
        <w:top w:w="40" w:type="dxa"/>
        <w:start w:w="0" w:type="dxa"/>
        <w:bottom w:w="0" w:type="dxa"/>
        <w:end w:w="0" w:type="dxa"/>
      </w:tblCellMar>
    </w:tblPr>
    <w:tblGrid>
      <w:gridCol w:w="6626"/>
      <w:gridCol w:w="2400"/>
    </w:tblGrid>
    <w:tr>
      <w:tc>
        <w:tcPr>
          <w:tcW w:w="6626" w:type="dxa"/>
        </w:tcPr>
        <w:p>
          <w:pPr>
            <w:jc w:val="left"/>
            <w:spacing w:after="0"/>
          </w:pPr>
          <w:r>
            <w:rPr>
              <w:color w:val="595959"/>
              <w:sz w:val="16"/>
            </w:rPr>
            <w:t xml:space="preserve">MC Consultorías &amp; Capacitación S.A.S. · Confidencial</w:t>
          </w:r>
        </w:p>
      </w:tc>
      <w:tc>
        <w:tcPr>
          <w:tcW w:w="2400" w:type="dxa"/>
        </w:tcPr>
        <w:p>
          <w:pPr>
            <w:jc w:val="right"/>
            <w:spacing w:after="0"/>
          </w:pPr>
          <w:r>
            <w:rPr>
              <w:color w:val="595959"/>
              <w:sz w:val="16"/>
            </w:rPr>
            <w:t xml:space="preserve">Página </w:t>
          </w:r>
          <w:r>
            <w:fldChar w:fldCharType="begin"/>
          </w:r>
          <w:r>
            <w:instrText xml:space="preserve"> PAGE </w:instrText>
          </w:r>
          <w:r>
            <w:fldChar w:fldCharType="separate"/>
          </w:r>
          <w:r>
            <w:rPr>
              <w:color w:val="595959"/>
              <w:sz w:val="16"/>
            </w:rPr>
            <w:t>1</w:t>
          </w:r>
          <w:r>
            <w:fldChar w:fldCharType="end"/>
          </w:r>
          <w:r>
            <w:rPr>
              <w:color w:val="595959"/>
              <w:sz w:val="16"/>
            </w:rPr>
            <w:t xml:space="preserve"> de </w:t>
          </w:r>
          <w:r>
            <w:fldChar w:fldCharType="begin"/>
          </w:r>
          <w:r>
            <w:instrText xml:space="preserve"> NUMPAGES </w:instrText>
          </w:r>
          <w:r>
            <w:fldChar w:fldCharType="separate"/>
          </w:r>
          <w:r>
            <w:rPr>
              <w:color w:val="595959"/>
              <w:sz w:val="16"/>
            </w:rPr>
            <w:t>1</w:t>
          </w:r>
          <w:r>
            <w:fldChar w:fldCharType="end"/>
          </w:r>
        </w:p>
      </w:tc>
    </w:tr>
  </w:tbl>
</w:ftr>
</file>

<file path=word/header1.xml><?xml version="1.0" encoding="utf-8"?>
<w:hdr xmlns:w="http://schemas.openxmlformats.org/wordprocessingml/2006/main">
  <w:p>
    <w:pPr>
      <w:jc w:val="center"/>
      <w:pBdr>
        <w:bottom w:val="single" w:color="2E8B8B" w:sz="4" w:space="4"/>
      </w:pBdr>
    </w:pPr>
    <w:r>
      <w:rPr>
        <w:color w:val="1F3A5F"/>
        <w:sz w:val="18"/>
        <w:b/>
      </w:rPr>
      <w:t xml:space="preserve">Anexo 4 · Bitácora de cambios y despliegues del repositorio</w:t>
    </w:r>
  </w:p>
</w:hdr>
</file>

<file path=word/styles.xml><?xml version="1.0" encoding="utf-8"?>
<w:styles xmlns:w="http://schemas.openxmlformats.org/wordprocessingml/2006/main">
  <w:docDefaults>
    <w:rPrDefault>
      <w:rPr>
        <w:rFonts w:ascii="Calibri" w:hAnsi="Calibri" w:eastAsia="SimSun" w:cs="Calibri"/>
        <w:sz w:val="22"/>
        <w:szCs w:val="22"/>
        <w:color w:val="333333"/>
        <w:lang w:val="es-CO" w:eastAsia="zh-CN"/>
      </w:rPr>
    </w:rPrDefault>
    <w:pPrDefault>
      <w:pPr>
        <w:spacing w:after="160" w:line="276" w:lineRule="auto"/>
      </w:pPr>
    </w:pPrDefault>
  </w:docDefaults>
  <w:style w:type="paragraph" w:styleId="Normal" w:default="true">
    <w:name w:val="Normal"/>
    <w:uiPriority w:val="0"/>
    <w:qFormat/>
  </w:style>
  <w:style w:type="paragraph" w:styleId="Heading1">
    <w:name w:val="heading 1"/>
    <w:basedOn w:val="Normal"/>
    <w:next w:val="Normal"/>
    <w:uiPriority w:val="9"/>
    <w:qFormat/>
    <w:pPr>
      <w:keepNext/>
      <w:keepLines/>
      <w:spacing w:before="480" w:after="120"/>
      <w:outlineLvl w:val="0"/>
    </w:pPr>
    <w:rPr>
      <w:rFonts w:ascii="Calibri" w:hAnsi="Calibri" w:eastAsia="SimSun"/>
      <w:sz w:val="40"/>
      <w:color w:val="1F3A5F"/>
      <w:b/>
    </w:rPr>
  </w:style>
  <w:style w:type="paragraph" w:styleId="Heading2">
    <w:name w:val="heading 2"/>
    <w:basedOn w:val="Normal"/>
    <w:next w:val="Normal"/>
    <w:uiPriority w:val="9"/>
    <w:qFormat/>
    <w:pPr>
      <w:keepNext/>
      <w:keepLines/>
      <w:spacing w:before="360" w:after="80"/>
      <w:outlineLvl w:val="1"/>
    </w:pPr>
    <w:rPr>
      <w:rFonts w:ascii="Calibri" w:hAnsi="Calibri" w:eastAsia="SimSun"/>
      <w:sz w:val="26"/>
      <w:color w:val="2E8B8B"/>
      <w:b/>
    </w:rPr>
  </w:style>
  <w:style w:type="paragraph" w:styleId="Heading3">
    <w:name w:val="heading 3"/>
    <w:basedOn w:val="Normal"/>
    <w:next w:val="Normal"/>
    <w:uiPriority w:val="9"/>
    <w:qFormat/>
    <w:pPr>
      <w:keepNext/>
      <w:keepLines/>
      <w:spacing w:before="240" w:after="80"/>
      <w:outlineLvl w:val="2"/>
    </w:pPr>
    <w:rPr>
      <w:rFonts w:ascii="Calibri" w:hAnsi="Calibri" w:eastAsia="SimSun"/>
      <w:sz w:val="22"/>
      <w:color w:val="1F3A5F"/>
      <w:b/>
    </w:rPr>
  </w:style>
</w:styles>
</file>

<file path=word/_rels/document.xml.rels>&#65279;<?xml version="1.0" encoding="utf-8"?><Relationships xmlns="http://schemas.openxmlformats.org/package/2006/relationships"><Relationship Type="http://schemas.openxmlformats.org/officeDocument/2006/relationships/styles" Target="/word/styles.xml" Id="R0b3405db8d494511" /><Relationship Type="http://schemas.openxmlformats.org/officeDocument/2006/relationships/header" Target="/word/header1.xml" Id="Rd4385d7949fc439d" /><Relationship Type="http://schemas.openxmlformats.org/officeDocument/2006/relationships/footer" Target="/word/footer1.xml" Id="R69ead14913874632" /></Relationships>
</file>