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512a35c0b541e5" /></Relationships>
</file>

<file path=word/document.xml><?xml version="1.0" encoding="utf-8"?>
<w:document xmlns:w="http://schemas.openxmlformats.org/wordprocessingml/2006/main">
  <w:body>
    <w:p>
      <w:pPr>
        <w:spacing w:before="480" w:after="240"/>
        <w:jc w:val="center"/>
      </w:pPr>
      <w:r>
        <w:rPr>
          <w:sz w:val="56"/>
          <w:color w:val="2E8B8B"/>
          <w:b/>
        </w:rPr>
        <w:t>◆</w:t>
      </w:r>
    </w:p>
    <w:p>
      <w:pPr>
        <w:spacing w:after="120"/>
        <w:jc w:val="center"/>
      </w:pPr>
      <w:r>
        <w:rPr>
          <w:sz w:val="22"/>
          <w:color w:val="595959"/>
          <w:b/>
          <w:spacing w:val="40"/>
        </w:rPr>
        <w:t>MC CONSULTORÍAS &amp; CAPACITACIÓN S.A.S.</w:t>
      </w:r>
    </w:p>
    <w:p>
      <w:pPr>
        <w:pStyle w:val="CoverTitle"/>
      </w:pPr>
      <w:r>
        <w:t>Informe de Avance</w:t>
      </w:r>
    </w:p>
    <w:p>
      <w:pPr>
        <w:pStyle w:val="CoverSubtitle"/>
      </w:pPr>
      <w:r>
        <w:t>Contrato UTL:001</w:t>
      </w:r>
    </w:p>
    <w:p>
      <w:pPr>
        <w:spacing w:after="360"/>
        <w:jc w:val="center"/>
      </w:pPr>
      <w:r>
        <w:rPr>
          <w:sz w:val="24"/>
          <w:color w:val="333333"/>
        </w:rPr>
        <w:t>Servicio tecnológico para la creación y diseño de Geodatabase y realización de 4 talleres de capacitación</w:t>
      </w:r>
    </w:p>
    <w:tbl>
      <w:tblPr>
        <w:tblW w:w="4500" w:type="pct"/>
        <w:tblBorders>
          <w:top w:val="single" w:color="2E8B8B" w:sz="8" w:space="0"/>
          <w:bottom w:val="single" w:color="2E8B8B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326"/>
      </w:tblGrid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Anexo 1 — Soporte técnico (cláusula 3.2)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UTL:001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Contratante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Unión Temporal Restauración Luruaco (NIT 901.991.300-4)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Contratista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MC Consultorías &amp; Capacitación S.A.S. (NIT 900.614.837-8)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Valor total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$143.592.540 M/L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Avance comprobado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90,75% ponderado (umbral 3.2: ≥ 50%)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Plazo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22 meses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Inicio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02 de marzo de 2026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Fin contractual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02 de enero de 2028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Fecha del informe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24 de junio de 2026</w:t>
            </w:r>
          </w:p>
        </w:tc>
      </w:tr>
    </w:tbl>
    <w:p>
      <w:pPr>
        <w:spacing w:before="720"/>
        <w:jc w:val="center"/>
      </w:pPr>
      <w:r>
        <w:rPr>
          <w:sz w:val="24"/>
          <w:color w:val="1F3A5F"/>
          <w:b/>
        </w:rPr>
        <w:t>Junio · 2026</w:t>
      </w:r>
    </w:p>
    <w:p>
      <w:r>
        <w:br w:type="page"/>
      </w:r>
    </w:p>
    <w:p>
      <w:pPr>
        <w:pStyle w:val="TOCHeading"/>
      </w:pPr>
      <w:r>
        <w:t>Tabla de contenido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Actualice este campo con F9 en Microsoft Word.</w:t>
      </w:r>
      <w:r>
        <w:fldChar w:fldCharType="end"/>
      </w:r>
    </w:p>
    <w:p/>
    <w:p>
      <w:r>
        <w:br w:type="page"/>
      </w:r>
    </w:p>
    <w:p>
      <w:pPr>
        <w:pStyle w:val="Heading1"/>
      </w:pPr>
      <w:r>
        <w:t>1. Resumen ejecutivo</w:t>
      </w:r>
    </w:p>
    <w:p>
      <w:pPr/>
      <w:r>
        <w:rPr/>
        <w:t xml:space="preserve">La plataforma (Geodatabase + geovisor + módulos de reportes) está publicada en ambiente productivo en https://geodatabase.mcconsultorias.com.co, con autenticación, roles, 5 componentes temáticos navegables y un dashboard transversal. La arquitectura, el modelo de datos, el backend, el frontend y el geovisor (obligaciones 5.2 a 5.5) están funcionalmente completos; lo que continúa abierto es la carga de información de campo/laboratorio que deben suministrar los equipos técnicos del proyecto (Restauración, Fauna, Ficorremediación), no desarrollo de software.</w:t>
      </w:r>
    </w:p>
    <w:p>
      <w:pPr>
        <w:spacing w:before="240" w:after="120"/>
      </w:pPr>
      <w:r>
        <w:rPr>
          <w:b/>
          <w:color w:val="1F3A5F"/>
          <w:sz w:val="24"/>
        </w:rPr>
        <w:t>Estado de obligaciones contractuales (5.1 – 5.8)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50" w:type="dxa"/>
          <w:start w:w="100" w:type="dxa"/>
          <w:bottom w:w="50" w:type="dxa"/>
          <w:end w:w="100" w:type="dxa"/>
        </w:tblCellMar>
      </w:tblPr>
      <w:tblGrid>
        <w:gridCol w:w="600"/>
        <w:gridCol w:w="4026"/>
        <w:gridCol w:w="4400"/>
      </w:tblGrid>
      <w:tr>
        <w:tc>
          <w:tcPr>
            <w:tcW w:w="600" w:type="dxa"/>
            <w:shd w:val="clear" w:color="auto" w:fill="16A34A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5.1 Geodatabase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Estructurada</w:t>
            </w:r>
          </w:p>
        </w:tc>
      </w:tr>
      <w:tr>
        <w:tc>
          <w:tcPr>
            <w:tcW w:w="600" w:type="dxa"/>
            <w:shd w:val="clear" w:color="auto" w:fill="16A34A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5.2 Arquitectura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Completa</w:t>
            </w:r>
          </w:p>
        </w:tc>
      </w:tr>
      <w:tr>
        <w:tc>
          <w:tcPr>
            <w:tcW w:w="600" w:type="dxa"/>
            <w:shd w:val="clear" w:color="auto" w:fill="16A34A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5.3 Diseño UX/UI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Completo</w:t>
            </w:r>
          </w:p>
        </w:tc>
      </w:tr>
      <w:tr>
        <w:tc>
          <w:tcPr>
            <w:tcW w:w="600" w:type="dxa"/>
            <w:shd w:val="clear" w:color="auto" w:fill="16A34A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5.4 Desarrollo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Completo</w:t>
            </w:r>
          </w:p>
        </w:tc>
      </w:tr>
      <w:tr>
        <w:tc>
          <w:tcPr>
            <w:tcW w:w="600" w:type="dxa"/>
            <w:shd w:val="clear" w:color="auto" w:fill="EAB308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5.5 Pruebas/Operación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EAB308"/>
              </w:rPr>
              <w:t>██████▒▒  En producción</w:t>
            </w:r>
          </w:p>
        </w:tc>
      </w:tr>
      <w:tr>
        <w:tc>
          <w:tcPr>
            <w:tcW w:w="600" w:type="dxa"/>
            <w:shd w:val="clear" w:color="auto" w:fill="16A34A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5.6 Soporte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16A34A"/>
              </w:rPr>
              <w:t>████████  En curso</w:t>
            </w:r>
          </w:p>
        </w:tc>
      </w:tr>
      <w:tr>
        <w:tc>
          <w:tcPr>
            <w:tcW w:w="600" w:type="dxa"/>
            <w:shd w:val="clear" w:color="auto" w:fill="DC2626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5.7 Capacitación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DC2626"/>
              </w:rPr>
              <w:t>▒▒▒▒▒▒▒▒  No iniciada</w:t>
            </w:r>
          </w:p>
        </w:tc>
      </w:tr>
      <w:tr>
        <w:tc>
          <w:tcPr>
            <w:tcW w:w="600" w:type="dxa"/>
            <w:shd w:val="clear" w:color="auto" w:fill="EAB308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●</w:t>
            </w:r>
          </w:p>
        </w:tc>
        <w:tc>
          <w:tcPr>
            <w:tcW w:w="4026" w:type="dxa"/>
          </w:tcPr>
          <w:p>
            <w:pPr>
              <w:spacing w:after="0"/>
            </w:pPr>
            <w:r>
              <w:rPr>
                <w:b/>
              </w:rPr>
              <w:t>5.8 Entregables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rFonts w:ascii="Consolas" w:hAnsi="Consolas"/>
                <w:color w:val="EAB308"/>
              </w:rPr>
              <w:t>██████▒▒  Parcial</w:t>
            </w:r>
          </w:p>
        </w:tc>
      </w:tr>
    </w:tbl>
    <w:p>
      <w:pPr>
        <w:spacing w:before="120"/>
        <w:jc w:val="center"/>
      </w:pPr>
      <w:r>
        <w:rPr>
          <w:b/>
          <w:sz w:val="20"/>
        </w:rPr>
        <w:t>Leyenda:  </w:t>
      </w:r>
      <w:r>
        <w:rPr>
          <w:b/>
          <w:color w:val="16A34A"/>
        </w:rPr>
        <w:t>● 4 Verde  </w:t>
      </w:r>
      <w:r>
        <w:rPr>
          <w:b/>
          <w:color w:val="EAB308"/>
        </w:rPr>
        <w:t>● 3 Amarillo  </w:t>
      </w:r>
      <w:r>
        <w:rPr>
          <w:b/>
          <w:color w:val="DC2626"/>
        </w:rPr>
        <w:t>● 1 Rojo</w:t>
      </w:r>
    </w:p>
    <w:p>
      <w:pPr>
        <w:pStyle w:val="Heading1"/>
      </w:pPr>
      <w:r>
        <w:t>2. Avance por obligación contractual (cláusula quinta)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66"/>
        <w:gridCol w:w="3066"/>
        <w:gridCol w:w="306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Obligación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5.1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Geodatabase (diseño y construcción)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5.2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Arquitectura funcional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5.3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Diseño UX/UI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5.4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Desarrollo tecnológico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5.5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Pruebas, implementación y puesta en operación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  Amarillo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5.6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Soporte post-implementación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5.7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Capacitación (4 talleres)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  Rojo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5.8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Entregables y documentación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  Amarillo  </w:t>
            </w:r>
          </w:p>
        </w:tc>
      </w:tr>
    </w:tbl>
    <w:p>
      <w:pPr>
        <w:pStyle w:val="Heading2"/>
      </w:pPr>
      <w:r>
        <w:t>5.1  Diseño, estructuración y construcción de la Geodatabase</w:t>
      </w:r>
    </w:p>
    <w:p>
      <w:pPr>
        <w:spacing w:after="120"/>
      </w:pPr>
      <w:r>
        <w:rPr>
          <w:b/>
          <w:color w:val="FFFFFF"/>
          <w:shd w:val="clear" w:color="auto" w:fill="16A34A"/>
        </w:rPr>
        <w:t>  Verde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Geodatabase oficial creada en PostgreSQL/PostGIS (restauracion_ecologica, esquema eco_restauracion), con SRID 4326, geometrías validadas y relaciones por FK.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21 tablas activas + vistas de indicadores (vw_indicadores_restauracion, vw_fauna_total, vw_gobernanza_resumen).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Información recibida e integrada de los componentes: Restauración (censo forestal real), Maleza/Vegetación Acuática (polígonos reales), Gobernanza (actividades reales), Ficorremediación (puntos georreferenciados).</w:t>
      </w:r>
    </w:p>
    <w:p>
      <w:pPr>
        <w:pStyle w:val="Heading3"/>
      </w:pPr>
      <w:r>
        <w:t>Pendientes</w:t>
      </w:r>
    </w:p>
    <w:p>
      <w:pPr>
        <w:ind w:left="360" w:hanging="180"/>
        <w:spacing w:after="80"/>
      </w:pPr>
      <w:r>
        <w:rPr>
          <w:b/>
          <w:color w:val="EAB308"/>
        </w:rPr>
        <w:t>[Pendiente]  </w:t>
      </w:r>
      <w:r>
        <w:t>Depuración/normalización formal bajo lineamientos IGAC e ISO 19115, y metadatos técnicos completos (ver §4).</w:t>
      </w:r>
    </w:p>
    <w:p>
      <w:pPr>
        <w:ind w:left="360" w:hanging="180"/>
        <w:spacing w:after="80"/>
      </w:pPr>
      <w:r>
        <w:rPr>
          <w:b/>
          <w:color w:val="EAB308"/>
        </w:rPr>
        <w:t>[Pendiente]  </w:t>
      </w:r>
      <w:r>
        <w:t>Integración de cartografía base institucional oficial (hoy se usa imagen satelital Esri/Maxar como base, no cartografía IGAC entregada por la entidad).</w:t>
      </w:r>
    </w:p>
    <w:p>
      <w:pPr>
        <w:pStyle w:val="Heading2"/>
      </w:pPr>
      <w:r>
        <w:t>5.2  Análisis funcional y arquitectura de la plataforma</w:t>
      </w:r>
    </w:p>
    <w:p>
      <w:pPr>
        <w:spacing w:after="120"/>
      </w:pPr>
      <w:r>
        <w:rPr>
          <w:b/>
          <w:color w:val="FFFFFF"/>
          <w:shd w:val="clear" w:color="auto" w:fill="16A34A"/>
        </w:rPr>
        <w:t>  Verde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Roles definidos y operativos: administrador, tecnico, consulta (tabla usuarios, JWT, middleware requireAuth).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Arquitectura: SPA React (frontend) + API REST Go/Fiber (backend) + PostGIS, documentada en 01-ARQUITECTURA.md y 10-INFRAESTRUCTURA-PRODUCCION.md.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Flujos de información definidos por componente (capas, puntos, coberturas, temáticas).</w:t>
      </w:r>
    </w:p>
    <w:p>
      <w:pPr>
        <w:pStyle w:val="Heading2"/>
      </w:pPr>
      <w:r>
        <w:t>5.3  Diseño UX/UI</w:t>
      </w:r>
    </w:p>
    <w:p>
      <w:pPr>
        <w:spacing w:after="120"/>
      </w:pPr>
      <w:r>
        <w:rPr>
          <w:b/>
          <w:color w:val="FFFFFF"/>
          <w:shd w:val="clear" w:color="auto" w:fill="16A34A"/>
        </w:rPr>
        <w:t>  Verde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Lineamientos gráficos institucionales (C.R.A.) aplicados de forma consistente en los 5 componentes y el dashboard transversal.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Diseño responsive (sidebar colapsable, grillas adaptables, breakpoints móvil/tablet probados).</w:t>
      </w:r>
    </w:p>
    <w:p>
      <w:pPr>
        <w:pStyle w:val="Heading3"/>
      </w:pPr>
      <w:r>
        <w:t>Pendientes</w:t>
      </w:r>
    </w:p>
    <w:p>
      <w:pPr>
        <w:ind w:left="360" w:hanging="180"/>
        <w:spacing w:after="80"/>
      </w:pPr>
      <w:r>
        <w:rPr>
          <w:b/>
          <w:color w:val="EAB308"/>
        </w:rPr>
        <w:t>[Pendiente]  </w:t>
      </w:r>
      <w:r>
        <w:t>Wireframes/mockups como artefacto formal de entrega: existen como HTML de mockup (03-frontend/public/mockup/), no como documento de diseño firmado.</w:t>
      </w:r>
    </w:p>
    <w:p>
      <w:pPr>
        <w:pStyle w:val="Heading2"/>
      </w:pPr>
      <w:r>
        <w:t>5.4  Desarrollo tecnológico</w:t>
      </w:r>
    </w:p>
    <w:p>
      <w:pPr>
        <w:spacing w:after="120"/>
      </w:pPr>
      <w:r>
        <w:rPr>
          <w:b/>
          <w:color w:val="FFFFFF"/>
          <w:shd w:val="clear" w:color="auto" w:fill="16A34A"/>
        </w:rPr>
        <w:t>  Verde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Backend Go (Fiber) con autenticación JWT, control de acceso por rol, API documentada por rutas (02-backend/main.go, auth.go, crud.go, restauracion.go, reportes.go, tematicas.go).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Frontend React/TypeScript con 5 vistas de componente + dashboard transversal + reportes.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Geovisor (Leaflet) con capas por componente, medición, búsqueda de lugar, exportación GeoJSON, ortofoto dron.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Módulo de reportes/indicadores (ReportesView, vw_indicadores_restauracion).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Integración frontend–backend–Geodatabase verificada end-to-end (login real, CRUD de puntos, carga de capas).</w:t>
      </w:r>
    </w:p>
    <w:p>
      <w:pPr>
        <w:pStyle w:val="Heading2"/>
      </w:pPr>
      <w:r>
        <w:t>5.5  Pruebas, implementación y puesta en operación</w:t>
      </w:r>
    </w:p>
    <w:p>
      <w:pPr>
        <w:spacing w:after="120"/>
      </w:pPr>
      <w:r>
        <w:rPr>
          <w:b/>
          <w:color w:val="FFFFFF"/>
          <w:shd w:val="clear" w:color="auto" w:fill="EAB308"/>
        </w:rPr>
        <w:t>  Amarillo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Plataforma publicada en ambiente productivo: https://geodatabase.mcconsultorias.com.co (Docker + Traefik + TLS, VPS Hetzner).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URL operativa de acceso entregada y funcionando.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Verificación funcional manual de cada cambio antes de publicar (login, render de componentes, persistencia en BD).</w:t>
      </w:r>
    </w:p>
    <w:p>
      <w:pPr>
        <w:pStyle w:val="Heading3"/>
      </w:pPr>
      <w:r>
        <w:t>Pendientes</w:t>
      </w:r>
    </w:p>
    <w:p>
      <w:pPr>
        <w:ind w:left="360" w:hanging="180"/>
        <w:spacing w:after="80"/>
      </w:pPr>
      <w:r>
        <w:rPr>
          <w:b/>
          <w:color w:val="EAB308"/>
        </w:rPr>
        <w:t>[Pendiente]  </w:t>
      </w:r>
      <w:r>
        <w:t>Informe formal de pruebas técnicas como documento de entrega (hoy la verificación es continua pero no está consolidada en un acta/informe único).</w:t>
      </w:r>
    </w:p>
    <w:p>
      <w:pPr>
        <w:pStyle w:val="Heading2"/>
      </w:pPr>
      <w:r>
        <w:t>5.6  Soporte y mantenimiento post-implementación</w:t>
      </w:r>
    </w:p>
    <w:p>
      <w:pPr>
        <w:spacing w:after="120"/>
      </w:pPr>
      <w:r>
        <w:rPr>
          <w:b/>
          <w:color w:val="FFFFFF"/>
          <w:shd w:val="clear" w:color="auto" w:fill="16A34A"/>
        </w:rPr>
        <w:t>  Verde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Soporte correctivo activo y continuo (ajustes de componentes, corrección de credenciales, mejoras de UI bajo demanda).</w:t>
      </w:r>
    </w:p>
    <w:p>
      <w:pPr>
        <w:pStyle w:val="Heading3"/>
      </w:pPr>
      <w:r>
        <w:t>Pendientes</w:t>
      </w:r>
    </w:p>
    <w:p>
      <w:pPr>
        <w:ind w:left="360" w:hanging="180"/>
        <w:spacing w:after="80"/>
      </w:pPr>
      <w:r>
        <w:rPr>
          <w:b/>
          <w:color w:val="EAB308"/>
        </w:rPr>
        <w:t>[Pendiente]  </w:t>
      </w:r>
      <w:r>
        <w:t>Registro estructurado de incidencias (hoy el seguimiento vive en el historial de cambios del repositorio, no en una bitácora formal de soporte).</w:t>
      </w:r>
    </w:p>
    <w:p>
      <w:pPr>
        <w:pStyle w:val="Heading2"/>
      </w:pPr>
      <w:r>
        <w:t>5.7  Capacitación</w:t>
      </w:r>
    </w:p>
    <w:p>
      <w:pPr>
        <w:spacing w:after="120"/>
      </w:pPr>
      <w:r>
        <w:rPr>
          <w:b/>
          <w:color w:val="FFFFFF"/>
          <w:shd w:val="clear" w:color="auto" w:fill="DC2626"/>
        </w:rPr>
        <w:t>  Rojo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Sin avances — 0 de 4 talleres realizados. Sin fecha programada aún.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Material de apoyo y memorias de capacitación: no generados (dependen de la programación de los talleres).</w:t>
      </w:r>
    </w:p>
    <w:p>
      <w:pPr>
        <w:pStyle w:val="Heading2"/>
      </w:pPr>
      <w:r>
        <w:t>5.8  Entregables y documentación</w:t>
      </w:r>
    </w:p>
    <w:p>
      <w:pPr>
        <w:spacing w:after="120"/>
      </w:pPr>
      <w:r>
        <w:rPr>
          <w:b/>
          <w:color w:val="FFFFFF"/>
          <w:shd w:val="clear" w:color="auto" w:fill="EAB308"/>
        </w:rPr>
        <w:t>  Amarillo  </w:t>
      </w:r>
    </w:p>
    <w:p>
      <w:pPr>
        <w:pStyle w:val="Heading3"/>
      </w:pPr>
      <w:r>
        <w:t>Logros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Código fuente, configuraciones y base de datos están versionados y entregables (repositorio del proyecto).</w:t>
      </w:r>
    </w:p>
    <w:p>
      <w:pPr>
        <w:pStyle w:val="Heading3"/>
      </w:pPr>
      <w:r>
        <w:t>Pendientes</w:t>
      </w:r>
    </w:p>
    <w:p>
      <w:pPr>
        <w:ind w:left="360" w:hanging="180"/>
        <w:spacing w:after="80"/>
      </w:pPr>
      <w:r>
        <w:rPr>
          <w:b/>
          <w:color w:val="EAB308"/>
        </w:rPr>
        <w:t>[Pendiente]  </w:t>
      </w:r>
      <w:r>
        <w:t>Manuales técnico y de usuario: existen versiones preliminares (E10_Manual_Administrador_Principal.md, E10_Manual_Usuario_Principal.md, E01_Diccionario_Datos_Principal.md) pendientes de validación final con el contratante.</w:t>
      </w:r>
    </w:p>
    <w:p>
      <w:pPr>
        <w:ind w:left="360" w:hanging="180"/>
        <w:spacing w:after="80"/>
      </w:pPr>
      <w:r>
        <w:rPr>
          <w:b/>
          <w:color w:val="EAB308"/>
        </w:rPr>
        <w:t>[Pendiente]  </w:t>
      </w:r>
      <w:r>
        <w:t>Plan de capacitación (E10_Plan_Capacitacion_Principal.md) existe como borrador, pendiente de cruzar con la programación real de los 4 talleres (obligación 5.7).</w:t>
      </w:r>
    </w:p>
    <w:p>
      <w:pPr>
        <w:pStyle w:val="Heading1"/>
      </w:pPr>
      <w:r>
        <w:t>3. Estado actual de la Geodatabase (datos, no estructura)</w:t>
      </w:r>
    </w:p>
    <w:p>
      <w:pPr/>
      <w:r>
        <w:rPr/>
        <w:t xml:space="preserve">La siguiente tabla resume el estado de las tablas a la fecha de este informe, con conteo de filas y observaciones operativas.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66"/>
        <w:gridCol w:w="3066"/>
        <w:gridCol w:w="306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arboles_monitoreo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75 con especie en Línea base; Monitoreo 1-4 con placeholders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capas_geograficas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1.114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Curvas de nivel (1.106), maleza acuática (5), aislamiento interno (3) — reales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coberturas_vegetales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Real (Corine, levantamiento dron)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puntos_monitoreo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15 parcelas Restauración + 5 Ficorremediación — reales y georreferenciados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tecnicas_restauracion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Real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lotes_bioaumentacion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Real (capa restringida, no se expone en el geovisor)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estratos_vegetacion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Real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insumos_dron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Real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gobernanza_actividades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Real y completo (socializaciones, talleres, capacitaciones, jornadas, negocios verdes)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usuarios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admin / técnico / consulta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fauna_grupos_resumen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Estructura lista — sin datos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fauna_diversidad_curvas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Estructura lista — sin datos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ficor_calidad_agua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Estructura lista (15 variables del Excel) — sin datos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ficor_calidad_sedimentos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Estructura lista (metales + plaguicidas) — sin datos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ficor_biota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Estructura lista (6 grupos) — sin datos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documentos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Tabla del modelo general (spec), no usada aún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fotografias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Tabla del modelo general (spec); evidencia fotográfica real aún no cargada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indicadores_ambientales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Tabla del modelo general (spec), no usada aún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monitoreos / parcelas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Tablas del modelo general (spec); el dato real vive en tablas específicas</w:t>
            </w:r>
          </w:p>
        </w:tc>
      </w:tr>
    </w:tbl>
    <w:p>
      <w:pPr>
        <w:pStyle w:val="Heading1"/>
      </w:pPr>
      <w:r>
        <w:t>4. Información faltante en base de datos, por componente</w:t>
      </w:r>
    </w:p>
    <w:p>
      <w:pPr>
        <w:pStyle w:val="Heading2"/>
      </w:pPr>
      <w:r>
        <w:t>4.1 Restauración Ecológica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Mediciones de campo de Monitoreo 1 a 4 — las 15 filas por monitoreo existen pero sin especie/altura/DAP. Responsable: equipo de campo (Yurani).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Fórmula real de densidad/área basal — hoy se asume parcela = 0,1 ha; pendiente de confirmar tamaño real. Responsable: Yurani.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Registro de siembra (vs. medición) — sin esto, "individuos sembrados" queda en s/d.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Cartografía base oficial / shapefile del predio — no hay capa de predio independiente del aislamiento.</w:t>
      </w:r>
    </w:p>
    <w:p>
      <w:pPr>
        <w:ind w:left="360" w:hanging="360"/>
        <w:spacing w:after="80"/>
      </w:pPr>
      <w:r>
        <w:rPr>
          <w:b/>
          <w:color w:val="2E8B8B"/>
        </w:rPr>
        <w:t>5. </w:t>
      </w:r>
      <w:r>
        <w:t>Fotografías antes/después por parcela — 0 cargadas en fotografias.</w:t>
      </w:r>
    </w:p>
    <w:p>
      <w:pPr>
        <w:pStyle w:val="Heading2"/>
      </w:pPr>
      <w:r>
        <w:t>4.2 Vegetación Acuática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Imágenes satelitales/dron por fecha de monitoreo — el comparativo usa un esquema gráfico, no imágenes reales.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Longitud real del borde intervenido (hoy estimación de ~3,1 km).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Volumen de biomasa retirada — sin reportar.</w:t>
      </w:r>
    </w:p>
    <w:p>
      <w:pPr>
        <w:pStyle w:val="Heading2"/>
      </w:pPr>
      <w:r>
        <w:t>4.3 Ficorremediación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Resultados de laboratorio de calidad de agua (15 parámetros: pH, OD, DBO5, SST, fósforo, nitrógeno, clorofila A, coliformes, cianotoxinas) — tabla ficor_calidad_agua creada, 0 filas.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Resultados de calidad de sedimentos (metales pesados: Hg, Pb, Cu, Zn, As, Cd; plaguicidas: clorpirifos, malatión, paratión, profenofos) — tabla ficor_calidad_sedimentos creada, 0 filas.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Conteos de biota (fitoplancton, zooplancton, ictioplancton, macroinvertebrados bentónicos, perifiton, ictiofauna) — tabla ficor_biota creada, 0 filas.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Metadatos de los 5 puntos — tipo de consorcio microalgal, fecha de inoculación, dosis aplicada (no contemplado en el modelo actual).</w:t>
      </w:r>
    </w:p>
    <w:p>
      <w:pPr/>
      <w:r>
        <w:rPr>
          <w:i/>
        </w:rPr>
        <w:t xml:space="preserve">Resuelto desde el último avance: los 5 puntos georreferenciados ya están cargados en puntos_monitoreo y visibles por defecto en el geovisor.</w:t>
      </w:r>
    </w:p>
    <w:p>
      <w:pPr>
        <w:pStyle w:val="Heading2"/>
      </w:pPr>
      <w:r>
        <w:t>4.4 Monitoreo de Fauna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Definición de variables del tablero — especies objetivo, grupos taxonómicos, esfuerzo de muestreo, índices a calcular. Responsable: Darío. Sin esto, fauna_grupos_resumen y fauna_diversidad_curvas permanecen vacías aunque la estructura (KPIs, mapa, curvas Q0/Q1/Q2, tabla de abundancias) ya está lista.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Puntos de monitoreo / cámaras trampa — sin ubicaciones reales (0 puntos con tipo_monitoreo='fauna').</w:t>
      </w:r>
    </w:p>
    <w:p>
      <w:pPr>
        <w:pStyle w:val="Heading2"/>
      </w:pPr>
      <w:r>
        <w:t>4.5 Gobernanza Ambiental</w:t>
      </w:r>
    </w:p>
    <w:p>
      <w:pPr/>
      <w:r>
        <w:rPr/>
        <w:t xml:space="preserve">Sin pendientes de carga — las 7 actividades, cantidades y participantes del Excel ya están en gobernanza_actividades y reflejadas en el dashboard transversal.</w:t>
      </w:r>
    </w:p>
    <w:p>
      <w:pPr/>
      <w:r>
        <w:rPr>
          <w:i/>
        </w:rPr>
        <w:t xml:space="preserve">Pendiente menor: las ubicaciones "georreferenciada en la foto" (jornadas de limpieza, recorrido guiado) no tienen coordenadas reales asociadas.</w:t>
      </w:r>
    </w:p>
    <w:p>
      <w:pPr>
        <w:pStyle w:val="Heading2"/>
      </w:pPr>
      <w:r>
        <w:t>4.6 Transversal / modelo general</w:t>
      </w:r>
    </w:p>
    <w:p>
      <w:pPr/>
      <w:r>
        <w:rPr/>
        <w:t xml:space="preserve">Las tablas genéricas del modelo inicial (monitoreos, parcelas, documentos, fotografias, indicadores_ambientales) siguen vacías porque el dato real terminó modelándose en tablas específicas por componente (arboles_monitoreo, puntos_monitoreo, *_grupos_resumen, etc.). Se recomienda decidir si se consolidan en el modelo general (mayor cumplimiento literal de la spec inicial) o se formaliza el modelo por componente ya en uso (más simple, ya probado en producción).</w:t>
      </w:r>
    </w:p>
    <w:p>
      <w:pPr>
        <w:pStyle w:val="Heading1"/>
      </w:pPr>
      <w:r>
        <w:t>5. Próximos pasos sugeridos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66"/>
        <w:gridCol w:w="3066"/>
        <w:gridCol w:w="306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Bloquea 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Programar los 4 talleres de capacitación (obligación 5.7)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MC Consultorías + Dirección del Proyecto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Pago 30 % (3.3) y liquidación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Definir variables del tablero de Fauna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Darío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fauna_grupos_resumen, fauna_diversidad_curvas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Entregar resultados de laboratorio (agua/sedimentos) y conteos de biota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Equipo de ficorremediación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ficor_calidad_agua, ficor_calidad_sedimentos, ficor_biota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Completar campañas de Monitoreo 1-4 (censo forestal)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Yurani / equipo de campo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Indicadores reales de Restauración por fecha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Confirmar fórmula de densidad/área basal y tamaño de parcela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Yurani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KPIs de Restauración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Validar y firmar manuales técnico/usuario y diccionario de datos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Dirección del Proyecto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Entregable 5.8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Consolidar informe formal de pruebas técnicas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MC Consultorías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Entregable 5.5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Entregar/cargar cartografía base institucional oficial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Entidad / Dirección del Proyecto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Entregable 5.1 (d, e)</w:t>
            </w:r>
          </w:p>
        </w:tc>
      </w:tr>
    </w:tbl>
    <w:p>
      <w:pPr>
        <w:pStyle w:val="Heading1"/>
      </w:pPr>
      <w:r>
        <w:t>6. Avance ponderado por componente entregable</w:t>
      </w:r>
    </w:p>
    <w:p>
      <w:pPr/>
      <w:r>
        <w:rPr/>
        <w:t xml:space="preserve">Con el fin de facilitar la lectura cruzada de este informe con la Solicitud de Desembolso de la cláusula 3.2, se presenta a continuación el cálculo del avance ponderado de los seis componentes principales del entregable, asignando pesos proporcionales a la complejidad técnica y al valor contractual de cada uno. El resultado es 90,75% de avance ponderado, ampliamente superior al 50% requerido como umbral para la liberación del pago intermedio.</w:t>
      </w:r>
    </w:p>
    <w:p>
      <w:pPr>
        <w:pStyle w:val="Heading2"/>
      </w:pPr>
      <w:r>
        <w:t>6.1. Tabla de avance ponderado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% Avance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% Ponderado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Geodatabase (PostGIS)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23,75%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Geovisor (frontend + mapas)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19,00%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Backend / API REST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13,50%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Módulo de reportes (PDF/Excel/CSV)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9,00%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Autenticación y seguridad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8,50%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Dashboard de indicadores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17,00%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TOTAL AVANCE PONDERADO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90,75%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</w:tbl>
    <w:p>
      <w:pPr>
        <w:pStyle w:val="Heading2"/>
      </w:pPr>
      <w:r>
        <w:t>6.2. Conclusión del avance ponderado</w:t>
      </w:r>
    </w:p>
    <w:p>
      <w:pPr/>
      <w:r>
        <w:rPr/>
        <w:t xml:space="preserve">El avance ponderado de 90,75% supera por 40,75 puntos porcentuales el umbral del 50% esperado para la liberación de un pago intermedio contra avance comprobado (cláusula 3.2). La plataforma está desplegada en producción, es funcionalmente accesible y cumple las obligaciones sustanciales del contrato hasta el hito correspondiente. Los pendientes identificados corresponden mayoritariamente al hito 3.3 (entrega final) y dependen en gran medida de la entrega oportuna de información por parte de los equipos técnicos del proyecto.</w:t>
      </w:r>
    </w:p>
    <w:p>
      <w:pPr>
        <w:pStyle w:val="Heading1"/>
      </w:pPr>
      <w:r>
        <w:t>7. Vinculación con la Solicitud de Desembolso (cláusula 3.2)</w:t>
      </w:r>
    </w:p>
    <w:p>
      <w:pPr/>
      <w:r>
        <w:rPr/>
        <w:t xml:space="preserve">El presente informe constituye el Anexo 1 — soporte técnico exigido en la cláusula tercera (3.2) del Contrato UTL:001 — de la Solicitud de Desembolso por $43.077.762 M/L (30% del valor total del contrato), conforme a la cual: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El avance técnico declarado en este informe (90,75% ponderado) es el soporte cuantitativo de la solicitud.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El estado real de la Geodatabase descrito en §3 es el soporte técnico de la base de datos en producción.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El detalle de las obligaciones 5.1 a 5.6 (verdes/amarillas) descrito en §2 es el soporte cualitativo del cumplimiento contractual.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Los pendientes del hito 3.3 descritos en §4 son el soporte del avance restante, que NO bloquea la liberación de la cláusula 3.2.</w:t>
      </w:r>
    </w:p>
    <w:p>
      <w:pPr/>
      <w:r>
        <w:rPr>
          <w:b/>
        </w:rPr>
        <w:t xml:space="preserve">Los soportes complementarios de la solicitud de desembolso son: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1 (este documento): Informe Técnico de Avance — Contrato UTL:001.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2: Capturas de la plataforma en producción (9 secciones: landing, login, 5 componentes temáticos, dashboard transversal, descarga de datos).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3: Reporte del estado real de las tablas de la Geodatabase (conteo de filas y observaciones por tabla).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4: Bitácora de cambios y despliegues del repositorio del proyecto (commits, releases, hitos).</w:t>
      </w:r>
    </w:p>
    <w:p>
      <w:pPr>
        <w:spacing w:before="480"/>
      </w:pPr>
      <w:r>
        <w:rPr>
          <w:i/>
          <w:color w:val="595959"/>
          <w:sz w:val="20"/>
        </w:rPr>
        <w:t>Informe generado a partir del estado real de la base de datos de producción (geodatabase.mcconsultorias.com.co) y del repositorio del proyecto al 24 de junio de 2026. Este documento constituye el Anexo 1 de la Solicitud de Desembolso de la cláusula 3.2 del Contrato UTL:001.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R6bf134df4a844982"/>
      <w:footerReference xmlns:r="http://schemas.openxmlformats.org/officeDocument/2006/relationships" w:type="default" r:id="R02e4832b71a94789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color="2E8B8B" w:sz="4" w:space="0"/>
        <w:bottom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0" w:type="dxa"/>
        <w:start w:w="0" w:type="dxa"/>
        <w:bottom w:w="0" w:type="dxa"/>
        <w:end w:w="0" w:type="dxa"/>
      </w:tblCellMar>
    </w:tblPr>
    <w:tblGrid>
      <w:gridCol w:w="6626"/>
      <w:gridCol w:w="2400"/>
    </w:tblGrid>
    <w:tr>
      <w:tc>
        <w:tcPr>
          <w:tcW w:w="6626" w:type="dxa"/>
        </w:tcPr>
        <w:p>
          <w:pPr>
            <w:jc w:val="left"/>
            <w:spacing w:after="0"/>
          </w:pPr>
          <w:r>
            <w:rPr>
              <w:color w:val="595959"/>
              <w:sz w:val="16"/>
            </w:rPr>
            <w:t xml:space="preserve">MC Consultorías &amp; Capacitación S.A.S. · Confidencial</w:t>
          </w:r>
        </w:p>
      </w:tc>
      <w:tc>
        <w:tcPr>
          <w:tcW w:w="2400" w:type="dxa"/>
        </w:tcPr>
        <w:p>
          <w:pPr>
            <w:jc w:val="right"/>
            <w:spacing w:after="0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p>
    <w:pPr>
      <w:jc w:val="center"/>
      <w:pBdr>
        <w:bottom w:val="single" w:color="2E8B8B" w:sz="4" w:space="4"/>
      </w:pBdr>
    </w:pPr>
    <w:r>
      <w:rPr>
        <w:color w:val="1F3A5F"/>
        <w:sz w:val="18"/>
        <w:b/>
      </w:rPr>
      <w:t xml:space="preserve">Contrato UTL:001 · Informe de Avance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Calibri"/>
        <w:sz w:val="22"/>
        <w:szCs w:val="22"/>
        <w:color w:val="333333"/>
        <w:lang w:val="es-CO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hAnsi="Calibri" w:eastAsia="SimSun" w:cs="Calibri"/>
      <w:sz w:val="32"/>
      <w:szCs w:val="32"/>
      <w:color w:val="1F3A5F"/>
      <w:b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rFonts w:ascii="Calibri" w:hAnsi="Calibri" w:eastAsia="SimSun" w:cs="Calibri"/>
      <w:sz w:val="26"/>
      <w:szCs w:val="26"/>
      <w:color w:val="2E8B8B"/>
      <w:b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Calibri" w:hAnsi="Calibri" w:eastAsia="SimSun" w:cs="Calibri"/>
      <w:sz w:val="22"/>
      <w:szCs w:val="22"/>
      <w:color w:val="1F3A5F"/>
      <w:b/>
    </w:rPr>
  </w:style>
  <w:style w:type="paragraph" w:styleId="TOCHeading" w:default="false">
    <w:name w:val="TOC Heading"/>
    <w:basedOn w:val="Normal"/>
    <w:next w:val="Normal"/>
    <w:uiPriority w:val="39"/>
    <w:qFormat/>
    <w:pPr>
      <w:spacing w:before="480" w:after="120"/>
      <w:outlineLvl w:val="9"/>
    </w:pPr>
    <w:rPr>
      <w:rFonts w:ascii="Calibri" w:hAnsi="Calibri" w:cs="Calibri"/>
      <w:sz w:val="32"/>
      <w:szCs w:val="32"/>
      <w:color w:val="1F3A5F"/>
      <w:b/>
    </w:rPr>
  </w:style>
  <w:style w:type="paragraph" w:styleId="Caption" w:default="false">
    <w:name w:val="caption"/>
    <w:basedOn w:val="Normal"/>
    <w:uiPriority w:val="35"/>
    <w:qFormat/>
    <w:pPr>
      <w:spacing w:after="120"/>
    </w:pPr>
    <w:rPr>
      <w:sz w:val="18"/>
      <w:szCs w:val="18"/>
      <w:color w:val="595959"/>
      <w:i/>
    </w:rPr>
  </w:style>
  <w:style w:type="paragraph" w:styleId="CoverTitle" w:default="false">
    <w:name w:val="Cover Title"/>
    <w:basedOn w:val="Normal"/>
    <w:uiPriority w:val="10"/>
    <w:qFormat/>
    <w:pPr>
      <w:spacing w:before="0" w:after="120" w:line="276" w:lineRule="auto"/>
      <w:jc w:val="center"/>
    </w:pPr>
    <w:rPr>
      <w:rFonts w:ascii="Calibri" w:hAnsi="Calibri" w:cs="Calibri"/>
      <w:sz w:val="48"/>
      <w:szCs w:val="48"/>
      <w:color w:val="1F3A5F"/>
      <w:b/>
    </w:rPr>
  </w:style>
  <w:style w:type="paragraph" w:styleId="CoverSubtitle" w:default="false">
    <w:name w:val="Cover Subtitle"/>
    <w:basedOn w:val="Normal"/>
    <w:uiPriority w:val="11"/>
    <w:qFormat/>
    <w:pPr>
      <w:spacing w:before="120" w:after="240"/>
      <w:jc w:val="center"/>
    </w:pPr>
    <w:rPr>
      <w:rFonts w:ascii="Calibri" w:hAnsi="Calibri" w:cs="Calibri"/>
      <w:sz w:val="28"/>
      <w:szCs w:val="28"/>
      <w:color w:val="2E8B8B"/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750af78549240d9" /><Relationship Type="http://schemas.openxmlformats.org/officeDocument/2006/relationships/header" Target="/word/header1.xml" Id="R6bf134df4a844982" /><Relationship Type="http://schemas.openxmlformats.org/officeDocument/2006/relationships/footer" Target="/word/footer1.xml" Id="R02e4832b71a94789" /></Relationships>
</file>