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9d24f3a01c554edc" /></Relationships>
</file>

<file path=word/document.xml><?xml version="1.0" encoding="utf-8"?>
<w:document xmlns:w="http://schemas.openxmlformats.org/wordprocessingml/2006/main">
  <w:body>
    <w:p>
      <w:pPr>
        <w:spacing w:before="480" w:after="240"/>
        <w:jc w:val="center"/>
      </w:pPr>
      <w:r>
        <w:rPr>
          <w:sz w:val="56"/>
          <w:color w:val="DC2626"/>
          <w:b/>
        </w:rPr>
        <w:t>◆</w:t>
      </w:r>
    </w:p>
    <w:p>
      <w:pPr>
        <w:spacing w:after="120"/>
        <w:jc w:val="center"/>
      </w:pPr>
      <w:r>
        <w:rPr>
          <w:sz w:val="22"/>
          <w:color w:val="595959"/>
          <w:b/>
          <w:spacing w:val="40"/>
        </w:rPr>
        <w:t>MC CONSULTORÍAS &amp; CAPACITACIÓN S.A.S.</w:t>
      </w:r>
    </w:p>
    <w:p>
      <w:pPr>
        <w:spacing w:before="0" w:after="120"/>
        <w:jc w:val="center"/>
      </w:pPr>
      <w:r>
        <w:rPr>
          <w:sz w:val="40"/>
          <w:color w:val="1F3A5F"/>
          <w:b/>
        </w:rPr>
        <w:t>Reporte de Despliegue</w:t>
      </w:r>
    </w:p>
    <w:p>
      <w:pPr>
        <w:spacing w:before="120" w:after="240"/>
        <w:jc w:val="center"/>
      </w:pPr>
      <w:r>
        <w:rPr>
          <w:sz w:val="28"/>
          <w:color w:val="DC2626"/>
          <w:i/>
        </w:rPr>
        <w:t>Verificación de la plataforma en producción</w:t>
      </w:r>
    </w:p>
    <w:p>
      <w:pPr>
        <w:spacing w:after="360"/>
        <w:jc w:val="center"/>
      </w:pPr>
      <w:r>
        <w:rPr>
          <w:sz w:val="24"/>
          <w:color w:val="333333"/>
        </w:rPr>
        <w:t>Soporte de la cláusula 3.2 — Contrato UTL:001</w:t>
      </w:r>
    </w:p>
    <w:tbl>
      <w:tblPr>
        <w:tblW w:w="5000" w:type="pct"/>
        <w:tblBorders>
          <w:top w:val="single" w:color="DC2626" w:sz="8" w:space="0"/>
          <w:bottom w:val="single" w:color="DC2626" w:sz="8" w:space="0"/>
          <w:left w:val="none" w:color="auto" w:sz="0" w:space="0"/>
          <w:right w:val="none" w:color="auto" w:sz="0" w:space="0"/>
          <w:insideH w:val="single" w:color="D9D9D9" w:sz="4" w:space="0"/>
          <w:insideV w:val="none" w:color="auto" w:sz="0" w:space="0"/>
        </w:tblBorders>
        <w:tblCellMar>
          <w:top w:w="80" w:type="dxa"/>
          <w:start w:w="120" w:type="dxa"/>
          <w:bottom w:w="80" w:type="dxa"/>
          <w:end w:w="120" w:type="dxa"/>
        </w:tblCellMar>
      </w:tblPr>
      <w:tblGrid>
        <w:gridCol w:w="2700"/>
        <w:gridCol w:w="6326"/>
      </w:tblGrid>
      <w:tr>
        <w:tc>
          <w:tcPr>
            <w:tcW w:w="2700" w:type="dxa"/>
          </w:tcPr>
          <w:p>
            <w:pPr>
              <w:spacing w:after="0"/>
            </w:pPr>
            <w:r>
              <w:rPr>
                <w:b/>
                <w:color w:val="1F3A5F"/>
              </w:rPr>
              <w:t>Documento</w:t>
            </w:r>
          </w:p>
        </w:tc>
        <w:tc>
          <w:tcPr>
            <w:tcW w:w="6326" w:type="dxa"/>
          </w:tcPr>
          <w:p>
            <w:pPr>
              <w:spacing w:after="0"/>
            </w:pPr>
            <w:r>
              <w:t>Reporte de despliegue — Verificación de la plataforma</w:t>
            </w:r>
          </w:p>
        </w:tc>
      </w:tr>
      <w:tr>
        <w:tc>
          <w:tcPr>
            <w:tcW w:w="2700" w:type="dxa"/>
            <w:shd w:val="clear" w:color="auto" w:fill="F8FAFC"/>
          </w:tcPr>
          <w:p>
            <w:pPr>
              <w:spacing w:after="0"/>
            </w:pPr>
            <w:r>
              <w:rPr>
                <w:b/>
                <w:color w:val="1F3A5F"/>
              </w:rPr>
              <w:t>Contrato</w:t>
            </w:r>
          </w:p>
        </w:tc>
        <w:tc>
          <w:tcPr>
            <w:tcW w:w="6326" w:type="dxa"/>
            <w:shd w:val="clear" w:color="auto" w:fill="F8FAFC"/>
          </w:tcPr>
          <w:p>
            <w:pPr>
              <w:spacing w:after="0"/>
            </w:pPr>
            <w:r>
              <w:t>UTL:001</w:t>
            </w:r>
          </w:p>
        </w:tc>
      </w:tr>
      <w:tr>
        <w:tc>
          <w:tcPr>
            <w:tcW w:w="2700" w:type="dxa"/>
          </w:tcPr>
          <w:p>
            <w:pPr>
              <w:spacing w:after="0"/>
            </w:pPr>
            <w:r>
              <w:rPr>
                <w:b/>
                <w:color w:val="1F3A5F"/>
              </w:rPr>
              <w:t>Soporta</w:t>
            </w:r>
          </w:p>
        </w:tc>
        <w:tc>
          <w:tcPr>
            <w:tcW w:w="6326" w:type="dxa"/>
          </w:tcPr>
          <w:p>
            <w:pPr>
              <w:spacing w:after="0"/>
            </w:pPr>
            <w:r>
              <w:t>Solicitud de desembolso — Cláusula 3.2</w:t>
            </w:r>
          </w:p>
        </w:tc>
      </w:tr>
      <w:tr>
        <w:tc>
          <w:tcPr>
            <w:tcW w:w="2700" w:type="dxa"/>
            <w:shd w:val="clear" w:color="auto" w:fill="F8FAFC"/>
          </w:tcPr>
          <w:p>
            <w:pPr>
              <w:spacing w:after="0"/>
            </w:pPr>
            <w:r>
              <w:rPr>
                <w:b/>
                <w:color w:val="1F3A5F"/>
              </w:rPr>
              <w:t>URL verificada</w:t>
            </w:r>
          </w:p>
        </w:tc>
        <w:tc>
          <w:tcPr>
            <w:tcW w:w="6326" w:type="dxa"/>
            <w:shd w:val="clear" w:color="auto" w:fill="F8FAFC"/>
          </w:tcPr>
          <w:p>
            <w:pPr>
              <w:spacing w:after="0"/>
            </w:pPr>
            <w:r>
              <w:t>geodatabase.mcconsultorias.com.co</w:t>
            </w:r>
          </w:p>
        </w:tc>
      </w:tr>
      <w:tr>
        <w:tc>
          <w:tcPr>
            <w:tcW w:w="2700" w:type="dxa"/>
          </w:tcPr>
          <w:p>
            <w:pPr>
              <w:spacing w:after="0"/>
            </w:pPr>
            <w:r>
              <w:rPr>
                <w:b/>
                <w:color w:val="1F3A5F"/>
              </w:rPr>
              <w:t>Estado verificado</w:t>
            </w:r>
          </w:p>
        </w:tc>
        <w:tc>
          <w:tcPr>
            <w:tcW w:w="6326" w:type="dxa"/>
          </w:tcPr>
          <w:p>
            <w:pPr>
              <w:spacing w:after="0"/>
            </w:pPr>
            <w:r>
              <w:t>NO OPERATIVO (timeout en puertos 80/443/8080)</w:t>
            </w:r>
          </w:p>
        </w:tc>
      </w:tr>
      <w:tr>
        <w:tc>
          <w:tcPr>
            <w:tcW w:w="2700" w:type="dxa"/>
            <w:shd w:val="clear" w:color="auto" w:fill="F8FAFC"/>
          </w:tcPr>
          <w:p>
            <w:pPr>
              <w:spacing w:after="0"/>
            </w:pPr>
            <w:r>
              <w:rPr>
                <w:b/>
                <w:color w:val="1F3A5F"/>
              </w:rPr>
              <w:t>DNS</w:t>
            </w:r>
          </w:p>
        </w:tc>
        <w:tc>
          <w:tcPr>
            <w:tcW w:w="6326" w:type="dxa"/>
            <w:shd w:val="clear" w:color="auto" w:fill="F8FAFC"/>
          </w:tcPr>
          <w:p>
            <w:pPr>
              <w:spacing w:after="0"/>
            </w:pPr>
            <w:r>
              <w:t>Resuelve a 2.24.97.152</w:t>
            </w:r>
          </w:p>
        </w:tc>
      </w:tr>
      <w:tr>
        <w:tc>
          <w:tcPr>
            <w:tcW w:w="2700" w:type="dxa"/>
          </w:tcPr>
          <w:p>
            <w:pPr>
              <w:spacing w:after="0"/>
            </w:pPr>
            <w:r>
              <w:rPr>
                <w:b/>
                <w:color w:val="1F3A5F"/>
              </w:rPr>
              <w:t>Ping</w:t>
            </w:r>
          </w:p>
        </w:tc>
        <w:tc>
          <w:tcPr>
            <w:tcW w:w="6326" w:type="dxa"/>
          </w:tcPr>
          <w:p>
            <w:pPr>
              <w:spacing w:after="0"/>
            </w:pPr>
            <w:r>
              <w:t>Responde (145–383 ms) — host no caído, servicio no accesible</w:t>
            </w:r>
          </w:p>
        </w:tc>
      </w:tr>
      <w:tr>
        <w:tc>
          <w:tcPr>
            <w:tcW w:w="2700" w:type="dxa"/>
            <w:shd w:val="clear" w:color="auto" w:fill="F8FAFC"/>
          </w:tcPr>
          <w:p>
            <w:pPr>
              <w:spacing w:after="0"/>
            </w:pPr>
            <w:r>
              <w:rPr>
                <w:b/>
                <w:color w:val="1F3A5F"/>
              </w:rPr>
              <w:t>Fecha de verificación</w:t>
            </w:r>
          </w:p>
        </w:tc>
        <w:tc>
          <w:tcPr>
            <w:tcW w:w="6326" w:type="dxa"/>
            <w:shd w:val="clear" w:color="auto" w:fill="F8FAFC"/>
          </w:tcPr>
          <w:p>
            <w:pPr>
              <w:spacing w:after="0"/>
            </w:pPr>
            <w:r>
              <w:t>25 de junio de 2026</w:t>
            </w:r>
          </w:p>
        </w:tc>
      </w:tr>
    </w:tbl>
    <w:p>
      <w:pPr>
        <w:spacing w:before="720"/>
        <w:jc w:val="center"/>
      </w:pPr>
      <w:r>
        <w:rPr>
          <w:sz w:val="24"/>
          <w:color w:val="DC2626"/>
          <w:b/>
        </w:rPr>
        <w:t>VERIFICACIÓN INDEPENDIENTE · ACCIÓN REQUERIDA</w:t>
      </w:r>
    </w:p>
    <w:p>
      <w:r>
        <w:br w:type="page"/>
      </w:r>
    </w:p>
    <w:p>
      <w:pPr>
        <w:pStyle w:val="Heading1"/>
      </w:pPr>
      <w:r>
        <w:t>1. Resumen ejecutivo del estado del despliegue</w:t>
      </w:r>
    </w:p>
    <w:p>
      <w:pPr/>
      <w:r>
        <w:rPr/>
        <w:t xml:space="preserve">El presente reporte documenta el estado actual del despliegue de la plataforma Geodatabase Luruaco, con corte a la fecha de verificación del 25 de junio de 2026. La verificación consistió en pruebas de conectividad contra la URL documentada como productiva y contra la IP del VPS de respaldo.</w:t>
      </w:r>
    </w:p>
    <w:p>
      <w:pPr>
        <w:pStyle w:val="Heading2"/>
      </w:pPr>
      <w:r>
        <w:t>1.1. Conclusión principal</w:t>
      </w:r>
    </w:p>
    <w:tbl>
      <w:tblPr>
        <w:tblW w:w="5000" w:type="pct"/>
        <w:tblBorders>
          <w:top w:val="single" w:color="DC2626" w:sz="8" w:space="0"/>
          <w:bottom w:val="single" w:color="DC2626" w:sz="8" w:space="0"/>
          <w:left w:val="none" w:color="auto" w:sz="0" w:space="0"/>
          <w:right w:val="none" w:color="auto" w:sz="0" w:space="0"/>
          <w:insideH w:val="none" w:color="auto" w:sz="0" w:space="0"/>
          <w:insideV w:val="none" w:color="auto" w:sz="0" w:space="0"/>
        </w:tblBorders>
        <w:tblCellMar>
          <w:top w:w="200" w:type="dxa"/>
          <w:start w:w="240" w:type="dxa"/>
          <w:bottom w:w="200" w:type="dxa"/>
          <w:end w:w="240" w:type="dxa"/>
        </w:tblCellMar>
      </w:tblPr>
      <w:tblGrid>
        <w:gridCol w:w="9026"/>
      </w:tblGrid>
      <w:tr>
        <w:tc>
          <w:tcPr>
            <w:tcW w:w="9026" w:type="dxa"/>
            <w:shd w:val="clear" w:color="auto" w:fill="FEE2E2"/>
          </w:tcPr>
          <w:p>
            <w:pPr>
              <w:spacing w:after="120"/>
            </w:pPr>
            <w:r>
              <w:rPr>
                <w:b/>
                <w:sz w:val="24"/>
                <w:color w:val="DC2626"/>
              </w:rPr>
              <w:t>ESTADO: NO OPERATIVO (verificación 25-jun-2026)</w:t>
            </w:r>
          </w:p>
          <w:p>
            <w:pPr>
              <w:spacing w:after="0"/>
            </w:pPr>
            <w:r>
              <w:t>La plataforma </w:t>
            </w:r>
            <w:r>
              <w:rPr>
                <w:b/>
              </w:rPr>
              <w:t>geodatabase.mcconsultorias.com.co</w:t>
            </w:r>
            <w:r>
              <w:t> </w:t>
            </w:r>
            <w:r>
              <w:t>no responde a conexiones HTTPS (puerto 443), HTTP (puerto 80) ni al puerto directo del backend (8080). El dominio DNS resuelve correctamente a la IP 2.24.97.152, pero la máquina no acepta conexiones TCP entrantes. La IP de respaldo documentada (187.77.4.10) también está inalcanzable en el puerto 8080. El servidor de ping responde (145–383 ms), lo que descarta una caída total del host y apunta a un bloqueo a nivel de firewall, contenedor detenido, o servicio caído.</w:t>
            </w:r>
          </w:p>
        </w:tc>
      </w:tr>
    </w:tbl>
    <w:p>
      <w:r>
        <w:br w:type="page"/>
      </w:r>
    </w:p>
    <w:p>
      <w:pPr>
        <w:pStyle w:val="Heading1"/>
      </w:pPr>
      <w:r>
        <w:t>2. Pruebas de conectividad realizadas</w:t>
      </w:r>
    </w:p>
    <w:p>
      <w:pPr>
        <w:pStyle w:val="Heading2"/>
      </w:pPr>
      <w:r>
        <w:t>2.1. Resumen de pruebas</w:t>
      </w:r>
    </w:p>
    <w:tbl>
      <w:tblPr>
        <w:tblW w:w="5000" w:type="pct"/>
        <w:tblBorders>
          <w:top w:val="single" w:color="1F3A5F" w:sz="8" w:space="0"/>
          <w:bottom w:val="single" w:color="1F3A5F" w:sz="8" w:space="0"/>
          <w:left w:val="none" w:color="auto" w:sz="0" w:space="0"/>
          <w:right w:val="none" w:color="auto" w:sz="0" w:space="0"/>
          <w:insideH w:val="single" w:color="D9D9D9" w:sz="4" w:space="0"/>
          <w:insideV w:val="none" w:color="auto" w:sz="0" w:space="0"/>
        </w:tblBorders>
        <w:tblCellMar>
          <w:top w:w="40" w:type="dxa"/>
          <w:start w:w="80" w:type="dxa"/>
          <w:bottom w:w="40" w:type="dxa"/>
          <w:end w:w="80" w:type="dxa"/>
        </w:tblCellMar>
      </w:tblPr>
      <w:tblGrid>
        <w:gridCol w:w="1805"/>
        <w:gridCol w:w="1805"/>
        <w:gridCol w:w="1805"/>
        <w:gridCol w:w="1805"/>
        <w:gridCol w:w="1805"/>
      </w:tblGrid>
      <w:tr>
        <w:tc>
          <w:tcPr>
            <w:tcW w:w="0" w:type="auto"/>
            <w:shd w:val="clear" w:color="auto" w:fill="1F3A5F"/>
            <w:tcBorders>
              <w:bottom w:val="single" w:color="1F3A5F" w:sz="8" w:space="0"/>
            </w:tcBorders>
          </w:tcPr>
          <w:p>
            <w:pPr>
              <w:spacing w:after="0"/>
            </w:pPr>
            <w:r>
              <w:rPr>
                <w:b/>
                <w:color w:val="FFFFFF"/>
                <w:sz w:val="20"/>
              </w:rPr>
              <w:t>#</w:t>
            </w:r>
          </w:p>
        </w:tc>
        <w:tc>
          <w:tcPr>
            <w:tcW w:w="0" w:type="auto"/>
            <w:shd w:val="clear" w:color="auto" w:fill="1F3A5F"/>
            <w:tcBorders>
              <w:bottom w:val="single" w:color="1F3A5F" w:sz="8" w:space="0"/>
            </w:tcBorders>
          </w:tcPr>
          <w:p>
            <w:pPr>
              <w:spacing w:after="0"/>
            </w:pPr>
            <w:r>
              <w:rPr>
                <w:b/>
                <w:color w:val="FFFFFF"/>
                <w:sz w:val="20"/>
              </w:rPr>
              <w:t>Prueba</w:t>
            </w:r>
          </w:p>
        </w:tc>
        <w:tc>
          <w:tcPr>
            <w:tcW w:w="0" w:type="auto"/>
            <w:shd w:val="clear" w:color="auto" w:fill="1F3A5F"/>
            <w:tcBorders>
              <w:bottom w:val="single" w:color="1F3A5F" w:sz="8" w:space="0"/>
            </w:tcBorders>
          </w:tcPr>
          <w:p>
            <w:pPr>
              <w:spacing w:after="0"/>
            </w:pPr>
            <w:r>
              <w:rPr>
                <w:b/>
                <w:color w:val="FFFFFF"/>
                <w:sz w:val="20"/>
              </w:rPr>
              <w:t>Endpoint / Host</w:t>
            </w:r>
          </w:p>
        </w:tc>
        <w:tc>
          <w:tcPr>
            <w:tcW w:w="0" w:type="auto"/>
            <w:shd w:val="clear" w:color="auto" w:fill="1F3A5F"/>
            <w:tcBorders>
              <w:bottom w:val="single" w:color="1F3A5F" w:sz="8" w:space="0"/>
            </w:tcBorders>
          </w:tcPr>
          <w:p>
            <w:pPr>
              <w:spacing w:after="0"/>
            </w:pPr>
            <w:r>
              <w:rPr>
                <w:b/>
                <w:color w:val="FFFFFF"/>
                <w:sz w:val="20"/>
              </w:rPr>
              <w:t>Resultado</w:t>
            </w:r>
          </w:p>
        </w:tc>
        <w:tc>
          <w:tcPr>
            <w:tcW w:w="0" w:type="auto"/>
            <w:shd w:val="clear" w:color="auto" w:fill="1F3A5F"/>
            <w:tcBorders>
              <w:bottom w:val="single" w:color="1F3A5F" w:sz="8" w:space="0"/>
            </w:tcBorders>
          </w:tcPr>
          <w:p>
            <w:pPr>
              <w:spacing w:after="0"/>
            </w:pPr>
            <w:r>
              <w:rPr>
                <w:b/>
                <w:color w:val="FFFFFF"/>
                <w:sz w:val="20"/>
              </w:rPr>
              <w:t>Latencia / Detalle</w:t>
            </w:r>
          </w:p>
        </w:tc>
      </w:tr>
      <w:tr>
        <w:tc>
          <w:tcPr>
            <w:tcW w:w="0" w:type="auto"/>
          </w:tcPr>
          <w:p>
            <w:pPr>
              <w:spacing w:after="0"/>
            </w:pPr>
            <w:r>
              <w:t xml:space="preserve">1</w:t>
            </w:r>
          </w:p>
        </w:tc>
        <w:tc>
          <w:tcPr>
            <w:tcW w:w="0" w:type="auto"/>
          </w:tcPr>
          <w:p>
            <w:pPr>
              <w:spacing w:after="0"/>
            </w:pPr>
            <w:r>
              <w:t xml:space="preserve">Resolución DNS</w:t>
            </w:r>
          </w:p>
        </w:tc>
        <w:tc>
          <w:tcPr>
            <w:tcW w:w="0" w:type="auto"/>
          </w:tcPr>
          <w:p>
            <w:pPr>
              <w:spacing w:after="0"/>
            </w:pPr>
            <w:r>
              <w:t xml:space="preserve">geodatabase.mcconsultorias.com.co</w:t>
            </w:r>
          </w:p>
        </w:tc>
        <w:tc>
          <w:tcPr>
            <w:tcW w:w="0" w:type="auto"/>
          </w:tcPr>
          <w:p>
            <w:pPr>
              <w:spacing w:after="0"/>
            </w:pPr>
            <w:r>
              <w:t xml:space="preserve">OK</w:t>
            </w:r>
          </w:p>
        </w:tc>
        <w:tc>
          <w:tcPr>
            <w:tcW w:w="0" w:type="auto"/>
          </w:tcPr>
          <w:p>
            <w:pPr>
              <w:spacing w:after="0"/>
            </w:pPr>
            <w:r>
              <w:t xml:space="preserve">Resuelve a 2.24.97.152</w:t>
            </w:r>
          </w:p>
        </w:tc>
      </w:tr>
      <w:tr>
        <w:tc>
          <w:tcPr>
            <w:tcW w:w="0" w:type="auto"/>
            <w:shd w:val="clear" w:color="auto" w:fill="F8FAFC"/>
          </w:tcPr>
          <w:p>
            <w:pPr>
              <w:spacing w:after="0"/>
            </w:pPr>
            <w:r>
              <w:t xml:space="preserve">2</w:t>
            </w:r>
          </w:p>
        </w:tc>
        <w:tc>
          <w:tcPr>
            <w:tcW w:w="0" w:type="auto"/>
            <w:shd w:val="clear" w:color="auto" w:fill="F8FAFC"/>
          </w:tcPr>
          <w:p>
            <w:pPr>
              <w:spacing w:after="0"/>
            </w:pPr>
            <w:r>
              <w:t xml:space="preserve">HTTPS al dominio</w:t>
            </w:r>
          </w:p>
        </w:tc>
        <w:tc>
          <w:tcPr>
            <w:tcW w:w="0" w:type="auto"/>
            <w:shd w:val="clear" w:color="auto" w:fill="F8FAFC"/>
          </w:tcPr>
          <w:p>
            <w:pPr>
              <w:spacing w:after="0"/>
            </w:pPr>
            <w:r>
              <w:t xml:space="preserve">https://geodatabase.mcconsultorias.com.co/health</w:t>
            </w:r>
          </w:p>
        </w:tc>
        <w:tc>
          <w:tcPr>
            <w:tcW w:w="0" w:type="auto"/>
            <w:shd w:val="clear" w:color="auto" w:fill="F8FAFC"/>
          </w:tcPr>
          <w:p>
            <w:pPr>
              <w:spacing w:after="0"/>
            </w:pPr>
            <w:r>
              <w:t xml:space="preserve">FALLO</w:t>
            </w:r>
          </w:p>
        </w:tc>
        <w:tc>
          <w:tcPr>
            <w:tcW w:w="0" w:type="auto"/>
            <w:shd w:val="clear" w:color="auto" w:fill="F8FAFC"/>
          </w:tcPr>
          <w:p>
            <w:pPr>
              <w:spacing w:after="0"/>
            </w:pPr>
            <w:r>
              <w:t xml:space="preserve">Connection timed out (10 s)</w:t>
            </w:r>
          </w:p>
        </w:tc>
      </w:tr>
      <w:tr>
        <w:tc>
          <w:tcPr>
            <w:tcW w:w="0" w:type="auto"/>
          </w:tcPr>
          <w:p>
            <w:pPr>
              <w:spacing w:after="0"/>
            </w:pPr>
            <w:r>
              <w:t xml:space="preserve">3</w:t>
            </w:r>
          </w:p>
        </w:tc>
        <w:tc>
          <w:tcPr>
            <w:tcW w:w="0" w:type="auto"/>
          </w:tcPr>
          <w:p>
            <w:pPr>
              <w:spacing w:after="0"/>
            </w:pPr>
            <w:r>
              <w:t xml:space="preserve">HTTPS a la raíz</w:t>
            </w:r>
          </w:p>
        </w:tc>
        <w:tc>
          <w:tcPr>
            <w:tcW w:w="0" w:type="auto"/>
          </w:tcPr>
          <w:p>
            <w:pPr>
              <w:spacing w:after="0"/>
            </w:pPr>
            <w:r>
              <w:t xml:space="preserve">https://geodatabase.mcconsultorias.com.co/</w:t>
            </w:r>
          </w:p>
        </w:tc>
        <w:tc>
          <w:tcPr>
            <w:tcW w:w="0" w:type="auto"/>
          </w:tcPr>
          <w:p>
            <w:pPr>
              <w:spacing w:after="0"/>
            </w:pPr>
            <w:r>
              <w:t xml:space="preserve">FALLO</w:t>
            </w:r>
          </w:p>
        </w:tc>
        <w:tc>
          <w:tcPr>
            <w:tcW w:w="0" w:type="auto"/>
          </w:tcPr>
          <w:p>
            <w:pPr>
              <w:spacing w:after="0"/>
            </w:pPr>
            <w:r>
              <w:t xml:space="preserve">Connection timed out (10 s)</w:t>
            </w:r>
          </w:p>
        </w:tc>
      </w:tr>
      <w:tr>
        <w:tc>
          <w:tcPr>
            <w:tcW w:w="0" w:type="auto"/>
            <w:shd w:val="clear" w:color="auto" w:fill="F8FAFC"/>
          </w:tcPr>
          <w:p>
            <w:pPr>
              <w:spacing w:after="0"/>
            </w:pPr>
            <w:r>
              <w:t xml:space="preserve">4</w:t>
            </w:r>
          </w:p>
        </w:tc>
        <w:tc>
          <w:tcPr>
            <w:tcW w:w="0" w:type="auto"/>
            <w:shd w:val="clear" w:color="auto" w:fill="F8FAFC"/>
          </w:tcPr>
          <w:p>
            <w:pPr>
              <w:spacing w:after="0"/>
            </w:pPr>
            <w:r>
              <w:t xml:space="preserve">HTTPS directo a IP</w:t>
            </w:r>
          </w:p>
        </w:tc>
        <w:tc>
          <w:tcPr>
            <w:tcW w:w="0" w:type="auto"/>
            <w:shd w:val="clear" w:color="auto" w:fill="F8FAFC"/>
          </w:tcPr>
          <w:p>
            <w:pPr>
              <w:spacing w:after="0"/>
            </w:pPr>
            <w:r>
              <w:t xml:space="preserve">https://2.24.97.152/health</w:t>
            </w:r>
          </w:p>
        </w:tc>
        <w:tc>
          <w:tcPr>
            <w:tcW w:w="0" w:type="auto"/>
            <w:shd w:val="clear" w:color="auto" w:fill="F8FAFC"/>
          </w:tcPr>
          <w:p>
            <w:pPr>
              <w:spacing w:after="0"/>
            </w:pPr>
            <w:r>
              <w:t xml:space="preserve">FALLO</w:t>
            </w:r>
          </w:p>
        </w:tc>
        <w:tc>
          <w:tcPr>
            <w:tcW w:w="0" w:type="auto"/>
            <w:shd w:val="clear" w:color="auto" w:fill="F8FAFC"/>
          </w:tcPr>
          <w:p>
            <w:pPr>
              <w:spacing w:after="0"/>
            </w:pPr>
            <w:r>
              <w:t xml:space="preserve">Connection timed out (8 s)</w:t>
            </w:r>
          </w:p>
        </w:tc>
      </w:tr>
      <w:tr>
        <w:tc>
          <w:tcPr>
            <w:tcW w:w="0" w:type="auto"/>
          </w:tcPr>
          <w:p>
            <w:pPr>
              <w:spacing w:after="0"/>
            </w:pPr>
            <w:r>
              <w:t xml:space="preserve">5</w:t>
            </w:r>
          </w:p>
        </w:tc>
        <w:tc>
          <w:tcPr>
            <w:tcW w:w="0" w:type="auto"/>
          </w:tcPr>
          <w:p>
            <w:pPr>
              <w:spacing w:after="0"/>
            </w:pPr>
            <w:r>
              <w:t xml:space="preserve">HTTP al puerto 80</w:t>
            </w:r>
          </w:p>
        </w:tc>
        <w:tc>
          <w:tcPr>
            <w:tcW w:w="0" w:type="auto"/>
          </w:tcPr>
          <w:p>
            <w:pPr>
              <w:spacing w:after="0"/>
            </w:pPr>
            <w:r>
              <w:t xml:space="preserve">http://2.24.97.152/</w:t>
            </w:r>
          </w:p>
        </w:tc>
        <w:tc>
          <w:tcPr>
            <w:tcW w:w="0" w:type="auto"/>
          </w:tcPr>
          <w:p>
            <w:pPr>
              <w:spacing w:after="0"/>
            </w:pPr>
            <w:r>
              <w:t xml:space="preserve">FALLO</w:t>
            </w:r>
          </w:p>
        </w:tc>
        <w:tc>
          <w:tcPr>
            <w:tcW w:w="0" w:type="auto"/>
          </w:tcPr>
          <w:p>
            <w:pPr>
              <w:spacing w:after="0"/>
            </w:pPr>
            <w:r>
              <w:t xml:space="preserve">Connection timed out (8 s)</w:t>
            </w:r>
          </w:p>
        </w:tc>
      </w:tr>
      <w:tr>
        <w:tc>
          <w:tcPr>
            <w:tcW w:w="0" w:type="auto"/>
            <w:shd w:val="clear" w:color="auto" w:fill="F8FAFC"/>
          </w:tcPr>
          <w:p>
            <w:pPr>
              <w:spacing w:after="0"/>
            </w:pPr>
            <w:r>
              <w:t xml:space="preserve">6</w:t>
            </w:r>
          </w:p>
        </w:tc>
        <w:tc>
          <w:tcPr>
            <w:tcW w:w="0" w:type="auto"/>
            <w:shd w:val="clear" w:color="auto" w:fill="F8FAFC"/>
          </w:tcPr>
          <w:p>
            <w:pPr>
              <w:spacing w:after="0"/>
            </w:pPr>
            <w:r>
              <w:t xml:space="preserve">HTTP al puerto 8080</w:t>
            </w:r>
          </w:p>
        </w:tc>
        <w:tc>
          <w:tcPr>
            <w:tcW w:w="0" w:type="auto"/>
            <w:shd w:val="clear" w:color="auto" w:fill="F8FAFC"/>
          </w:tcPr>
          <w:p>
            <w:pPr>
              <w:spacing w:after="0"/>
            </w:pPr>
            <w:r>
              <w:t xml:space="preserve">http://2.24.97.152:8080/health</w:t>
            </w:r>
          </w:p>
        </w:tc>
        <w:tc>
          <w:tcPr>
            <w:tcW w:w="0" w:type="auto"/>
            <w:shd w:val="clear" w:color="auto" w:fill="F8FAFC"/>
          </w:tcPr>
          <w:p>
            <w:pPr>
              <w:spacing w:after="0"/>
            </w:pPr>
            <w:r>
              <w:t xml:space="preserve">FALLO</w:t>
            </w:r>
          </w:p>
        </w:tc>
        <w:tc>
          <w:tcPr>
            <w:tcW w:w="0" w:type="auto"/>
            <w:shd w:val="clear" w:color="auto" w:fill="F8FAFC"/>
          </w:tcPr>
          <w:p>
            <w:pPr>
              <w:spacing w:after="0"/>
            </w:pPr>
            <w:r>
              <w:t xml:space="preserve">Connection timed out (8 s)</w:t>
            </w:r>
          </w:p>
        </w:tc>
      </w:tr>
      <w:tr>
        <w:tc>
          <w:tcPr>
            <w:tcW w:w="0" w:type="auto"/>
          </w:tcPr>
          <w:p>
            <w:pPr>
              <w:spacing w:after="0"/>
            </w:pPr>
            <w:r>
              <w:t xml:space="preserve">7</w:t>
            </w:r>
          </w:p>
        </w:tc>
        <w:tc>
          <w:tcPr>
            <w:tcW w:w="0" w:type="auto"/>
          </w:tcPr>
          <w:p>
            <w:pPr>
              <w:spacing w:after="0"/>
            </w:pPr>
            <w:r>
              <w:t xml:space="preserve">HTTP a IP de respaldo</w:t>
            </w:r>
          </w:p>
        </w:tc>
        <w:tc>
          <w:tcPr>
            <w:tcW w:w="0" w:type="auto"/>
          </w:tcPr>
          <w:p>
            <w:pPr>
              <w:spacing w:after="0"/>
            </w:pPr>
            <w:r>
              <w:t xml:space="preserve">http://187.77.4.10:8080/health</w:t>
            </w:r>
          </w:p>
        </w:tc>
        <w:tc>
          <w:tcPr>
            <w:tcW w:w="0" w:type="auto"/>
          </w:tcPr>
          <w:p>
            <w:pPr>
              <w:spacing w:after="0"/>
            </w:pPr>
            <w:r>
              <w:t xml:space="preserve">FALLO</w:t>
            </w:r>
          </w:p>
        </w:tc>
        <w:tc>
          <w:tcPr>
            <w:tcW w:w="0" w:type="auto"/>
          </w:tcPr>
          <w:p>
            <w:pPr>
              <w:spacing w:after="0"/>
            </w:pPr>
            <w:r>
              <w:t xml:space="preserve">Connection timed out (8 s)</w:t>
            </w:r>
          </w:p>
        </w:tc>
      </w:tr>
      <w:tr>
        <w:tc>
          <w:tcPr>
            <w:tcW w:w="0" w:type="auto"/>
            <w:shd w:val="clear" w:color="auto" w:fill="F8FAFC"/>
          </w:tcPr>
          <w:p>
            <w:pPr>
              <w:spacing w:after="0"/>
            </w:pPr>
            <w:r>
              <w:t xml:space="preserve">8</w:t>
            </w:r>
          </w:p>
        </w:tc>
        <w:tc>
          <w:tcPr>
            <w:tcW w:w="0" w:type="auto"/>
            <w:shd w:val="clear" w:color="auto" w:fill="F8FAFC"/>
          </w:tcPr>
          <w:p>
            <w:pPr>
              <w:spacing w:after="0"/>
            </w:pPr>
            <w:r>
              <w:t xml:space="preserve">Ping al host</w:t>
            </w:r>
          </w:p>
        </w:tc>
        <w:tc>
          <w:tcPr>
            <w:tcW w:w="0" w:type="auto"/>
            <w:shd w:val="clear" w:color="auto" w:fill="F8FAFC"/>
          </w:tcPr>
          <w:p>
            <w:pPr>
              <w:spacing w:after="0"/>
            </w:pPr>
            <w:r>
              <w:t xml:space="preserve">ping 2.24.97.152</w:t>
            </w:r>
          </w:p>
        </w:tc>
        <w:tc>
          <w:tcPr>
            <w:tcW w:w="0" w:type="auto"/>
            <w:shd w:val="clear" w:color="auto" w:fill="F8FAFC"/>
          </w:tcPr>
          <w:p>
            <w:pPr>
              <w:spacing w:after="0"/>
            </w:pPr>
            <w:r>
              <w:t xml:space="preserve">OK</w:t>
            </w:r>
          </w:p>
        </w:tc>
        <w:tc>
          <w:tcPr>
            <w:tcW w:w="0" w:type="auto"/>
            <w:shd w:val="clear" w:color="auto" w:fill="F8FAFC"/>
          </w:tcPr>
          <w:p>
            <w:pPr>
              <w:spacing w:after="0"/>
            </w:pPr>
            <w:r>
              <w:t xml:space="preserve">145–383 ms (2/2 paquetes, 0% packet loss)</w:t>
            </w:r>
          </w:p>
        </w:tc>
      </w:tr>
    </w:tbl>
    <w:p>
      <w:pPr>
        <w:pStyle w:val="Heading2"/>
      </w:pPr>
      <w:r>
        <w:t>2.2. Diagnóstico técnico</w:t>
      </w:r>
    </w:p>
    <w:p>
      <w:pPr/>
      <w:r>
        <w:rPr/>
        <w:t xml:space="preserve">El patrón de comportamiento observado es consistente con una de las siguientes causas (en orden de probabilidad):</w:t>
      </w:r>
    </w:p>
    <w:p>
      <w:pPr>
        <w:ind w:left="360" w:hanging="360"/>
        <w:spacing w:after="80"/>
      </w:pPr>
      <w:r>
        <w:rPr>
          <w:b/>
          <w:color w:val="2E8B8B"/>
        </w:rPr>
        <w:t>1. </w:t>
      </w:r>
      <w:r>
        <w:t>El contenedor del frontend/backend (Traefik o el servicio Go) está detenido y el firewall del VPS bloquea todos los puertos entrantes excepto ICMP.</w:t>
      </w:r>
    </w:p>
    <w:p>
      <w:pPr>
        <w:ind w:left="360" w:hanging="360"/>
        <w:spacing w:after="80"/>
      </w:pPr>
      <w:r>
        <w:rPr>
          <w:b/>
          <w:color w:val="2E8B8B"/>
        </w:rPr>
        <w:t>2. </w:t>
      </w:r>
      <w:r>
        <w:t>El VPS fue suspendido por el proveedor (Hetzner) por falta de pago o por uso indebido de recursos.</w:t>
      </w:r>
    </w:p>
    <w:p>
      <w:pPr>
        <w:ind w:left="360" w:hanging="360"/>
        <w:spacing w:after="80"/>
      </w:pPr>
      <w:r>
        <w:rPr>
          <w:b/>
          <w:color w:val="2E8B8B"/>
        </w:rPr>
        <w:t>3. </w:t>
      </w:r>
      <w:r>
        <w:t>El firewall de Hetzner o un security group está bloqueando los puertos 80/443/8080 desde Internet.</w:t>
      </w:r>
    </w:p>
    <w:p>
      <w:pPr>
        <w:ind w:left="360" w:hanging="360"/>
        <w:spacing w:after="80"/>
      </w:pPr>
      <w:r>
        <w:rPr>
          <w:b/>
          <w:color w:val="2E8B8B"/>
        </w:rPr>
        <w:t>4. </w:t>
      </w:r>
      <w:r>
        <w:t>La migración del VPS documentada en 10-INFRAESTRUCTURA-PRODUCCION.md (de 187.77.4.10 a una IP nueva) no se completó y la nueva IP no expone los servicios.</w:t>
      </w:r>
    </w:p>
    <w:p>
      <w:pPr>
        <w:ind w:left="360" w:hanging="360"/>
        <w:spacing w:after="80"/>
      </w:pPr>
      <w:r>
        <w:rPr>
          <w:b/>
          <w:color w:val="2E8B8B"/>
        </w:rPr>
        <w:t>5. </w:t>
      </w:r>
      <w:r>
        <w:t>Cambio de proveedor / migración de infraestructura no documentada en el repositorio.</w:t>
      </w:r>
    </w:p>
    <w:p>
      <w:pPr>
        <w:pStyle w:val="Heading2"/>
      </w:pPr>
      <w:r>
        <w:t>2.3. Comando exacto ejecutado</w:t>
      </w:r>
    </w:p>
    <w:p>
      <w:pPr/>
      <w:r>
        <w:rPr>
          <w:i/>
        </w:rPr>
        <w:t xml:space="preserve">curl -sS -o /dev/null -w "HTTP %{http_code} · %{time_total}s\n" --max-time 10 https://geodatabase.mcconsultorias.com.co/health</w:t>
      </w:r>
    </w:p>
    <w:p>
      <w:r>
        <w:br w:type="page"/>
      </w:r>
    </w:p>
    <w:p>
      <w:pPr>
        <w:pStyle w:val="Heading1"/>
      </w:pPr>
      <w:r>
        <w:t>3. Estado documentado en el repositorio vs. estado real verificado</w:t>
      </w:r>
    </w:p>
    <w:tbl>
      <w:tblPr>
        <w:tblW w:w="5000" w:type="pct"/>
        <w:tblBorders>
          <w:top w:val="single" w:color="1F3A5F" w:sz="8" w:space="0"/>
          <w:bottom w:val="single" w:color="1F3A5F" w:sz="8" w:space="0"/>
          <w:left w:val="none" w:color="auto" w:sz="0" w:space="0"/>
          <w:right w:val="none" w:color="auto" w:sz="0" w:space="0"/>
          <w:insideH w:val="single" w:color="D9D9D9" w:sz="4" w:space="0"/>
          <w:insideV w:val="none" w:color="auto" w:sz="0" w:space="0"/>
        </w:tblBorders>
        <w:tblCellMar>
          <w:top w:w="40" w:type="dxa"/>
          <w:start w:w="80" w:type="dxa"/>
          <w:bottom w:w="40" w:type="dxa"/>
          <w:end w:w="80" w:type="dxa"/>
        </w:tblCellMar>
      </w:tblPr>
      <w:tblGrid>
        <w:gridCol w:w="3008"/>
        <w:gridCol w:w="3008"/>
        <w:gridCol w:w="3008"/>
      </w:tblGrid>
      <w:tr>
        <w:tc>
          <w:tcPr>
            <w:tcW w:w="0" w:type="auto"/>
            <w:shd w:val="clear" w:color="auto" w:fill="1F3A5F"/>
            <w:tcBorders>
              <w:bottom w:val="single" w:color="1F3A5F" w:sz="8" w:space="0"/>
            </w:tcBorders>
          </w:tcPr>
          <w:p>
            <w:pPr>
              <w:spacing w:after="0"/>
            </w:pPr>
            <w:r>
              <w:rPr>
                <w:b/>
                <w:color w:val="FFFFFF"/>
                <w:sz w:val="20"/>
              </w:rPr>
              <w:t>Aspecto</w:t>
            </w:r>
          </w:p>
        </w:tc>
        <w:tc>
          <w:tcPr>
            <w:tcW w:w="0" w:type="auto"/>
            <w:shd w:val="clear" w:color="auto" w:fill="1F3A5F"/>
            <w:tcBorders>
              <w:bottom w:val="single" w:color="1F3A5F" w:sz="8" w:space="0"/>
            </w:tcBorders>
          </w:tcPr>
          <w:p>
            <w:pPr>
              <w:spacing w:after="0"/>
            </w:pPr>
            <w:r>
              <w:rPr>
                <w:b/>
                <w:color w:val="FFFFFF"/>
                <w:sz w:val="20"/>
              </w:rPr>
              <w:t>Documentado en el repositorio</w:t>
            </w:r>
          </w:p>
        </w:tc>
        <w:tc>
          <w:tcPr>
            <w:tcW w:w="0" w:type="auto"/>
            <w:shd w:val="clear" w:color="auto" w:fill="1F3A5F"/>
            <w:tcBorders>
              <w:bottom w:val="single" w:color="1F3A5F" w:sz="8" w:space="0"/>
            </w:tcBorders>
          </w:tcPr>
          <w:p>
            <w:pPr>
              <w:spacing w:after="0"/>
            </w:pPr>
            <w:r>
              <w:rPr>
                <w:b/>
                <w:color w:val="FFFFFF"/>
                <w:sz w:val="20"/>
              </w:rPr>
              <w:t>Real verificado el 25-jun-2026</w:t>
            </w:r>
          </w:p>
        </w:tc>
      </w:tr>
      <w:tr>
        <w:tc>
          <w:tcPr>
            <w:tcW w:w="0" w:type="auto"/>
          </w:tcPr>
          <w:p>
            <w:pPr>
              <w:spacing w:after="0"/>
            </w:pPr>
            <w:r>
              <w:t xml:space="preserve">URL de producción</w:t>
            </w:r>
          </w:p>
        </w:tc>
        <w:tc>
          <w:tcPr>
            <w:tcW w:w="0" w:type="auto"/>
          </w:tcPr>
          <w:p>
            <w:pPr>
              <w:spacing w:after="0"/>
            </w:pPr>
            <w:r>
              <w:t xml:space="preserve">https://geodatabase.mcconsultorias.com.co</w:t>
            </w:r>
          </w:p>
        </w:tc>
        <w:tc>
          <w:tcPr>
            <w:tcW w:w="0" w:type="auto"/>
          </w:tcPr>
          <w:p>
            <w:pPr>
              <w:spacing w:after="0"/>
            </w:pPr>
            <w:r>
              <w:t xml:space="preserve">No responde (timeout 10 s)</w:t>
            </w:r>
          </w:p>
        </w:tc>
      </w:tr>
      <w:tr>
        <w:tc>
          <w:tcPr>
            <w:tcW w:w="0" w:type="auto"/>
            <w:shd w:val="clear" w:color="auto" w:fill="F8FAFC"/>
          </w:tcPr>
          <w:p>
            <w:pPr>
              <w:spacing w:after="0"/>
            </w:pPr>
            <w:r>
              <w:t xml:space="preserve">VPS de respaldo</w:t>
            </w:r>
          </w:p>
        </w:tc>
        <w:tc>
          <w:tcPr>
            <w:tcW w:w="0" w:type="auto"/>
            <w:shd w:val="clear" w:color="auto" w:fill="F8FAFC"/>
          </w:tcPr>
          <w:p>
            <w:pPr>
              <w:spacing w:after="0"/>
            </w:pPr>
            <w:r>
              <w:t xml:space="preserve">187.77.4.10 (srv1334142) — Ubuntu 22.04</w:t>
            </w:r>
          </w:p>
        </w:tc>
        <w:tc>
          <w:tcPr>
            <w:tcW w:w="0" w:type="auto"/>
            <w:shd w:val="clear" w:color="auto" w:fill="F8FAFC"/>
          </w:tcPr>
          <w:p>
            <w:pPr>
              <w:spacing w:after="0"/>
            </w:pPr>
            <w:r>
              <w:t xml:space="preserve">No responde en puerto 8080</w:t>
            </w:r>
          </w:p>
        </w:tc>
      </w:tr>
      <w:tr>
        <w:tc>
          <w:tcPr>
            <w:tcW w:w="0" w:type="auto"/>
          </w:tcPr>
          <w:p>
            <w:pPr>
              <w:spacing w:after="0"/>
            </w:pPr>
            <w:r>
              <w:t xml:space="preserve">Backend Go (Fiber)</w:t>
            </w:r>
          </w:p>
        </w:tc>
        <w:tc>
          <w:tcPr>
            <w:tcW w:w="0" w:type="auto"/>
          </w:tcPr>
          <w:p>
            <w:pPr>
              <w:spacing w:after="0"/>
            </w:pPr>
            <w:r>
              <w:t xml:space="preserve">Puerto 8080, health check /health</w:t>
            </w:r>
          </w:p>
        </w:tc>
        <w:tc>
          <w:tcPr>
            <w:tcW w:w="0" w:type="auto"/>
          </w:tcPr>
          <w:p>
            <w:pPr>
              <w:spacing w:after="0"/>
            </w:pPr>
            <w:r>
              <w:t xml:space="preserve">Inalcanzable</w:t>
            </w:r>
          </w:p>
        </w:tc>
      </w:tr>
      <w:tr>
        <w:tc>
          <w:tcPr>
            <w:tcW w:w="0" w:type="auto"/>
            <w:shd w:val="clear" w:color="auto" w:fill="F8FAFC"/>
          </w:tcPr>
          <w:p>
            <w:pPr>
              <w:spacing w:after="0"/>
            </w:pPr>
            <w:r>
              <w:t xml:space="preserve">Frontend (nginx)</w:t>
            </w:r>
          </w:p>
        </w:tc>
        <w:tc>
          <w:tcPr>
            <w:tcW w:w="0" w:type="auto"/>
            <w:shd w:val="clear" w:color="auto" w:fill="F8FAFC"/>
          </w:tcPr>
          <w:p>
            <w:pPr>
              <w:spacing w:after="0"/>
            </w:pPr>
            <w:r>
              <w:t xml:space="preserve">Puerto 8081 / 443 detrás de Traefik</w:t>
            </w:r>
          </w:p>
        </w:tc>
        <w:tc>
          <w:tcPr>
            <w:tcW w:w="0" w:type="auto"/>
            <w:shd w:val="clear" w:color="auto" w:fill="F8FAFC"/>
          </w:tcPr>
          <w:p>
            <w:pPr>
              <w:spacing w:after="0"/>
            </w:pPr>
            <w:r>
              <w:t xml:space="preserve">Inalcanzable</w:t>
            </w:r>
          </w:p>
        </w:tc>
      </w:tr>
      <w:tr>
        <w:tc>
          <w:tcPr>
            <w:tcW w:w="0" w:type="auto"/>
          </w:tcPr>
          <w:p>
            <w:pPr>
              <w:spacing w:after="0"/>
            </w:pPr>
            <w:r>
              <w:t xml:space="preserve">PostgreSQL + PostGIS</w:t>
            </w:r>
          </w:p>
        </w:tc>
        <w:tc>
          <w:tcPr>
            <w:tcW w:w="0" w:type="auto"/>
          </w:tcPr>
          <w:p>
            <w:pPr>
              <w:spacing w:after="0"/>
            </w:pPr>
            <w:r>
              <w:t xml:space="preserve">Puerto 5432 (interno, no público)</w:t>
            </w:r>
          </w:p>
        </w:tc>
        <w:tc>
          <w:tcPr>
            <w:tcW w:w="0" w:type="auto"/>
          </w:tcPr>
          <w:p>
            <w:pPr>
              <w:spacing w:after="0"/>
            </w:pPr>
            <w:r>
              <w:t xml:space="preserve">No verificable desde fuera</w:t>
            </w:r>
          </w:p>
        </w:tc>
      </w:tr>
      <w:tr>
        <w:tc>
          <w:tcPr>
            <w:tcW w:w="0" w:type="auto"/>
            <w:shd w:val="clear" w:color="auto" w:fill="F8FAFC"/>
          </w:tcPr>
          <w:p>
            <w:pPr>
              <w:spacing w:after="0"/>
            </w:pPr>
            <w:r>
              <w:t xml:space="preserve">TLS</w:t>
            </w:r>
          </w:p>
        </w:tc>
        <w:tc>
          <w:tcPr>
            <w:tcW w:w="0" w:type="auto"/>
            <w:shd w:val="clear" w:color="auto" w:fill="F8FAFC"/>
          </w:tcPr>
          <w:p>
            <w:pPr>
              <w:spacing w:after="0"/>
            </w:pPr>
            <w:r>
              <w:t xml:space="preserve">Let's Encrypt (renovación automática)</w:t>
            </w:r>
          </w:p>
        </w:tc>
        <w:tc>
          <w:tcPr>
            <w:tcW w:w="0" w:type="auto"/>
            <w:shd w:val="clear" w:color="auto" w:fill="F8FAFC"/>
          </w:tcPr>
          <w:p>
            <w:pPr>
              <w:spacing w:after="0"/>
            </w:pPr>
            <w:r>
              <w:t xml:space="preserve">No verificable (no hay conexión)</w:t>
            </w:r>
          </w:p>
        </w:tc>
      </w:tr>
      <w:tr>
        <w:tc>
          <w:tcPr>
            <w:tcW w:w="0" w:type="auto"/>
          </w:tcPr>
          <w:p>
            <w:pPr>
              <w:spacing w:after="0"/>
            </w:pPr>
            <w:r>
              <w:t xml:space="preserve">Estado declarado en el Informe Técnico</w:t>
            </w:r>
          </w:p>
        </w:tc>
        <w:tc>
          <w:tcPr>
            <w:tcW w:w="0" w:type="auto"/>
          </w:tcPr>
          <w:p>
            <w:pPr>
              <w:spacing w:after="0"/>
            </w:pPr>
            <w:r>
              <w:t xml:space="preserve">🟢 Plataforma en producción, geodatabase.mcconsultorias.com.co accesible y funcional</w:t>
            </w:r>
          </w:p>
        </w:tc>
        <w:tc>
          <w:tcPr>
            <w:tcW w:w="0" w:type="auto"/>
          </w:tcPr>
          <w:p>
            <w:pPr>
              <w:spacing w:after="0"/>
            </w:pPr>
            <w:r>
              <w:t xml:space="preserve">🔴 No responde</w:t>
            </w:r>
          </w:p>
        </w:tc>
      </w:tr>
    </w:tbl>
    <w:p>
      <w:pPr>
        <w:pStyle w:val="Heading2"/>
      </w:pPr>
      <w:r>
        <w:t>3.1. Discrepancia con el Informe Técnico de Avance (24-jun-2026)</w:t>
      </w:r>
    </w:p>
    <w:tbl>
      <w:tblPr>
        <w:tblW w:w="5000" w:type="pct"/>
        <w:tblBorders>
          <w:top w:val="single" w:color="EAB308" w:sz="4" w:space="0"/>
          <w:bottom w:val="single" w:color="EAB308" w:sz="4" w:space="0"/>
          <w:left w:val="none" w:color="auto" w:sz="0" w:space="0"/>
          <w:right w:val="none" w:color="auto" w:sz="0" w:space="0"/>
          <w:insideH w:val="single" w:color="FEF3C7" w:sz="4" w:space="0"/>
          <w:insideV w:val="none" w:color="auto" w:sz="0" w:space="0"/>
        </w:tblBorders>
        <w:tblCellMar>
          <w:top w:w="120" w:type="dxa"/>
          <w:start w:w="180" w:type="dxa"/>
          <w:bottom w:w="120" w:type="dxa"/>
          <w:end w:w="180" w:type="dxa"/>
        </w:tblCellMar>
      </w:tblPr>
      <w:tblGrid>
        <w:gridCol w:w="9026"/>
      </w:tblGrid>
      <w:tr>
        <w:tc>
          <w:tcPr>
            <w:tcW w:w="9026" w:type="dxa"/>
            <w:shd w:val="clear" w:color="auto" w:fill="FEF3C7"/>
          </w:tcPr>
          <w:p>
            <w:pPr>
              <w:spacing w:after="120"/>
            </w:pPr>
            <w:r>
              <w:rPr>
                <w:b/>
                <w:sz w:val="24"/>
                <w:color w:val="92400E"/>
              </w:rPr>
              <w:t>⚠ Advertencia: discrepancia entre lo declarado y lo verificado</w:t>
            </w:r>
          </w:p>
          <w:p>
            <w:pPr>
              <w:spacing w:after="60"/>
            </w:pPr>
            <w:r>
              <w:t>El Anexo 1 (Informe Técnico de Avance) y la Solicitud de Desembolso de la cláusula 3.2 declaran que la plataforma </w:t>
            </w:r>
            <w:r>
              <w:rPr>
                <w:b/>
              </w:rPr>
              <w:t>geodatabase.mcconsultorias.com.co</w:t>
            </w:r>
            <w:r>
              <w:t> está publicada y operativa. La verificación independiente del 25-jun-2026 no pudo confirmar esa afirmación: la URL y los puertos asociados no responden a conexiones HTTPS ni HTTP.</w:t>
            </w:r>
          </w:p>
          <w:p>
            <w:pPr>
              <w:spacing w:after="0"/>
            </w:pPr>
            <w:r>
              <w:t>Esta discrepancia debe ser resuelta </w:t>
            </w:r>
            <w:r>
              <w:rPr>
                <w:b/>
              </w:rPr>
              <w:t>antes de proceder con la facturación de la cláusula 3.2</w:t>
            </w:r>
            <w:r>
              <w:t>, para evitar pagos contra un avance que no es demostrable de forma independiente por la Dirección del Proyecto.</w:t>
            </w:r>
          </w:p>
        </w:tc>
      </w:tr>
    </w:tbl>
    <w:p>
      <w:r>
        <w:br w:type="page"/>
      </w:r>
    </w:p>
    <w:p>
      <w:pPr>
        <w:pStyle w:val="Heading1"/>
      </w:pPr>
      <w:r>
        <w:t>4. Acciones requeridas para restablecer la disponibilidad</w:t>
      </w:r>
    </w:p>
    <w:p>
      <w:pPr>
        <w:pStyle w:val="Heading2"/>
      </w:pPr>
      <w:r>
        <w:t>4.1. Acciones inmediatas (próximas 24 horas)</w:t>
      </w:r>
    </w:p>
    <w:p>
      <w:pPr>
        <w:ind w:left="360" w:hanging="360"/>
        <w:spacing w:after="80"/>
      </w:pPr>
      <w:r>
        <w:rPr>
          <w:b/>
          <w:color w:val="2E8B8B"/>
        </w:rPr>
        <w:t>1. </w:t>
      </w:r>
      <w:r>
        <w:t>Verificar el estado del VPS en el panel de Hetzner: activo/suspendido/eliminado.</w:t>
      </w:r>
    </w:p>
    <w:p>
      <w:pPr>
        <w:ind w:left="360" w:hanging="360"/>
        <w:spacing w:after="80"/>
      </w:pPr>
      <w:r>
        <w:rPr>
          <w:b/>
          <w:color w:val="2E8B8B"/>
        </w:rPr>
        <w:t>2. </w:t>
      </w:r>
      <w:r>
        <w:t>Si el VPS está activo, iniciar sesión por SSH y verificar: (a) contenedores en ejecución (docker ps), (b) estado de Traefik (docker logs traefik), (c) reglas del firewall interno (ufw status / iptables -L).</w:t>
      </w:r>
    </w:p>
    <w:p>
      <w:pPr>
        <w:ind w:left="360" w:hanging="360"/>
        <w:spacing w:after="80"/>
      </w:pPr>
      <w:r>
        <w:rPr>
          <w:b/>
          <w:color w:val="2E8B8B"/>
        </w:rPr>
        <w:t>3. </w:t>
      </w:r>
      <w:r>
        <w:t>Si el VPS está suspendido por pago, regularizar la situación con Hetzner y solicitar el restablecimiento.</w:t>
      </w:r>
    </w:p>
    <w:p>
      <w:pPr>
        <w:ind w:left="360" w:hanging="360"/>
        <w:spacing w:after="80"/>
      </w:pPr>
      <w:r>
        <w:rPr>
          <w:b/>
          <w:color w:val="2E8B8B"/>
        </w:rPr>
        <w:t>4. </w:t>
      </w:r>
      <w:r>
        <w:t>Si el VPS está activo pero los servicios están caídos, reiniciar los contenedores con docker-compose -f docker-compose.prod.yml up -d.</w:t>
      </w:r>
    </w:p>
    <w:p>
      <w:pPr>
        <w:ind w:left="360" w:hanging="360"/>
        <w:spacing w:after="80"/>
      </w:pPr>
      <w:r>
        <w:rPr>
          <w:b/>
          <w:color w:val="2E8B8B"/>
        </w:rPr>
        <w:t>5. </w:t>
      </w:r>
      <w:r>
        <w:t>Verificar que el certificado TLS de Let's Encrypt esté vigente (certbot certificates) — un certificado expirado hace que los navegadores rechacen la conexión HTTPS sin agotar el timeout (el error sería más rápido).</w:t>
      </w:r>
    </w:p>
    <w:p>
      <w:pPr>
        <w:pStyle w:val="Heading2"/>
      </w:pPr>
      <w:r>
        <w:t>4.2. Acciones de mediano plazo (próximos 7 días)</w:t>
      </w:r>
    </w:p>
    <w:p>
      <w:pPr>
        <w:ind w:left="360" w:hanging="360"/>
        <w:spacing w:after="80"/>
      </w:pPr>
      <w:r>
        <w:rPr>
          <w:b/>
          <w:color w:val="2E8B8B"/>
        </w:rPr>
        <w:t>1. </w:t>
      </w:r>
      <w:r>
        <w:t>Implementar un health check externo (UptimeRobot, Healthchecks.io, BetterStack) con alerta por email/SMS ante caída.</w:t>
      </w:r>
    </w:p>
    <w:p>
      <w:pPr>
        <w:ind w:left="360" w:hanging="360"/>
        <w:spacing w:after="80"/>
      </w:pPr>
      <w:r>
        <w:rPr>
          <w:b/>
          <w:color w:val="2E8B8B"/>
        </w:rPr>
        <w:t>2. </w:t>
      </w:r>
      <w:r>
        <w:t>Documentar el procedimiento de recuperación ante desastre en 10-INFRAESTRUCTURA-PRODUCCION.md, con un runbook ejecutable paso a paso.</w:t>
      </w:r>
    </w:p>
    <w:p>
      <w:pPr>
        <w:ind w:left="360" w:hanging="360"/>
        <w:spacing w:after="80"/>
      </w:pPr>
      <w:r>
        <w:rPr>
          <w:b/>
          <w:color w:val="2E8B8B"/>
        </w:rPr>
        <w:t>3. </w:t>
      </w:r>
      <w:r>
        <w:t>Configurar un backup externo (Backblaze B2 o Hetzner Storage Box) y verificar la restauración con periodicidad semanal.</w:t>
      </w:r>
    </w:p>
    <w:p>
      <w:pPr>
        <w:ind w:left="360" w:hanging="360"/>
        <w:spacing w:after="80"/>
      </w:pPr>
      <w:r>
        <w:rPr>
          <w:b/>
          <w:color w:val="2E8B8B"/>
        </w:rPr>
        <w:t>4. </w:t>
      </w:r>
      <w:r>
        <w:t>Establecer un canal de notificaciones automáticas de despliegue (Slack, Discord, email) para que cualquier cambio en producción quede registrado.</w:t>
      </w:r>
    </w:p>
    <w:p>
      <w:pPr>
        <w:pStyle w:val="Heading2"/>
      </w:pPr>
      <w:r>
        <w:t>4.3. Acciones de largo plazo (próximo mes)</w:t>
      </w:r>
    </w:p>
    <w:p>
      <w:pPr>
        <w:ind w:left="360" w:hanging="360"/>
        <w:spacing w:after="80"/>
      </w:pPr>
      <w:r>
        <w:rPr>
          <w:b/>
          <w:color w:val="2E8B8B"/>
        </w:rPr>
        <w:t>1. </w:t>
      </w:r>
      <w:r>
        <w:t>Evaluar la migración a un esquema con redundancia geográfica (dos VPS en regiones distintas, o servicio gestionado con alta disponibilidad).</w:t>
      </w:r>
    </w:p>
    <w:p>
      <w:pPr>
        <w:ind w:left="360" w:hanging="360"/>
        <w:spacing w:after="80"/>
      </w:pPr>
      <w:r>
        <w:rPr>
          <w:b/>
          <w:color w:val="2E8B8B"/>
        </w:rPr>
        <w:t>2. </w:t>
      </w:r>
      <w:r>
        <w:t>Implementar pipeline CI/CD con verificación de despliegue (smoke tests e2e que validen /health tras cada deploy).</w:t>
      </w:r>
    </w:p>
    <w:p>
      <w:pPr>
        <w:ind w:left="360" w:hanging="360"/>
        <w:spacing w:after="80"/>
      </w:pPr>
      <w:r>
        <w:rPr>
          <w:b/>
          <w:color w:val="2E8B8B"/>
        </w:rPr>
        <w:t>3. </w:t>
      </w:r>
      <w:r>
        <w:t>Sincronizar la documentación del despliegue con el estado real en cada cambio de infraestructura.</w:t>
      </w:r>
    </w:p>
    <w:p>
      <w:r>
        <w:br w:type="page"/>
      </w:r>
    </w:p>
    <w:p>
      <w:pPr>
        <w:pStyle w:val="Heading1"/>
      </w:pPr>
      <w:r>
        <w:t>5. Aclaración sobre el despliegue y Netlify</w:t>
      </w:r>
    </w:p>
    <w:p>
      <w:pPr/>
      <w:r>
        <w:rPr/>
        <w:t xml:space="preserve">La consulta indica revisar el despliegue en Netlify. Sin embargo, el proyecto no está desplegado en Netlify en ninguna de sus formas (Netlify App, Netlify Functions, Netlify Edge). El repositorio no contiene ningún archivo de configuración de Netlify:</w:t>
      </w:r>
    </w:p>
    <w:p>
      <w:pPr>
        <w:shd w:val="clear" w:color="auto" w:fill="F1F5F9"/>
        <w:ind w:left="240" w:right="240"/>
        <w:spacing w:after="60"/>
      </w:pPr>
      <w:r>
        <w:rPr>
          <w:rFonts w:ascii="Consolas" w:hAnsi="Consolas"/>
          <w:sz w:val="18"/>
          <w:color w:val="333333"/>
        </w:rPr>
        <w:t xml:space="preserve">$ find . -name "netlify.toml" -o -name ".netlify*" -o -name "_redirects" -o -name "_headers"</w:t>
      </w:r>
    </w:p>
    <w:p>
      <w:pPr/>
      <w:r>
        <w:rPr>
          <w:i/>
        </w:rPr>
        <w:t xml:space="preserve">(búsqueda recursiva en el repositorio) — resultado: ningún archivo encontrado.</w:t>
      </w:r>
    </w:p>
    <w:p>
      <w:pPr>
        <w:shd w:val="clear" w:color="auto" w:fill="F1F5F9"/>
        <w:ind w:left="240" w:right="240"/>
        <w:spacing w:after="60"/>
      </w:pPr>
      <w:r>
        <w:rPr>
          <w:rFonts w:ascii="Consolas" w:hAnsi="Consolas"/>
          <w:sz w:val="18"/>
          <w:color w:val="333333"/>
        </w:rPr>
        <w:t xml:space="preserve">$ grep -rln "netlify" --include="*.json" --include="*.yml" --include="*.yaml" --include="*.toml" --include="*.md"</w:t>
      </w:r>
    </w:p>
    <w:p>
      <w:pPr/>
      <w:r>
        <w:rPr>
          <w:i/>
        </w:rPr>
        <w:t xml:space="preserve">Únicas referencias: dependencias transitivas dentro de node_modules/ (paquetes de ESLint, no relacionadas con un despliegue real).</w:t>
      </w:r>
    </w:p>
    <w:p>
      <w:pPr>
        <w:pStyle w:val="Heading2"/>
      </w:pPr>
      <w:r>
        <w:t>5.1. Plataforma de despliegue real</w:t>
      </w:r>
    </w:p>
    <w:p>
      <w:pPr/>
      <w:r>
        <w:rPr/>
        <w:t xml:space="preserve">El despliegue es 100% self-hosted en un VPS de Hetzner (Ubuntu 22.04 LTS) con la siguiente pila:</w:t>
      </w:r>
    </w:p>
    <w:tbl>
      <w:tblPr>
        <w:tblW w:w="5000" w:type="pct"/>
        <w:tblBorders>
          <w:top w:val="single" w:color="1F3A5F" w:sz="8" w:space="0"/>
          <w:bottom w:val="single" w:color="1F3A5F" w:sz="8" w:space="0"/>
          <w:left w:val="none" w:color="auto" w:sz="0" w:space="0"/>
          <w:right w:val="none" w:color="auto" w:sz="0" w:space="0"/>
          <w:insideH w:val="single" w:color="D9D9D9" w:sz="4" w:space="0"/>
          <w:insideV w:val="none" w:color="auto" w:sz="0" w:space="0"/>
        </w:tblBorders>
        <w:tblCellMar>
          <w:top w:w="40" w:type="dxa"/>
          <w:start w:w="80" w:type="dxa"/>
          <w:bottom w:w="40" w:type="dxa"/>
          <w:end w:w="80" w:type="dxa"/>
        </w:tblCellMar>
      </w:tblPr>
      <w:tblGrid>
        <w:gridCol w:w="4513"/>
        <w:gridCol w:w="4513"/>
      </w:tblGrid>
      <w:tr>
        <w:tc>
          <w:tcPr>
            <w:tcW w:w="0" w:type="auto"/>
            <w:shd w:val="clear" w:color="auto" w:fill="1F3A5F"/>
            <w:tcBorders>
              <w:bottom w:val="single" w:color="1F3A5F" w:sz="8" w:space="0"/>
            </w:tcBorders>
          </w:tcPr>
          <w:p>
            <w:pPr>
              <w:spacing w:after="0"/>
            </w:pPr>
            <w:r>
              <w:rPr>
                <w:b/>
                <w:color w:val="FFFFFF"/>
                <w:sz w:val="20"/>
              </w:rPr>
              <w:t>Capa</w:t>
            </w:r>
          </w:p>
        </w:tc>
        <w:tc>
          <w:tcPr>
            <w:tcW w:w="0" w:type="auto"/>
            <w:shd w:val="clear" w:color="auto" w:fill="1F3A5F"/>
            <w:tcBorders>
              <w:bottom w:val="single" w:color="1F3A5F" w:sz="8" w:space="0"/>
            </w:tcBorders>
          </w:tcPr>
          <w:p>
            <w:pPr>
              <w:spacing w:after="0"/>
            </w:pPr>
            <w:r>
              <w:rPr>
                <w:b/>
                <w:color w:val="FFFFFF"/>
                <w:sz w:val="20"/>
              </w:rPr>
              <w:t>Tecnología</w:t>
            </w:r>
          </w:p>
        </w:tc>
      </w:tr>
      <w:tr>
        <w:tc>
          <w:tcPr>
            <w:tcW w:w="0" w:type="auto"/>
          </w:tcPr>
          <w:p>
            <w:pPr>
              <w:spacing w:after="0"/>
            </w:pPr>
            <w:r>
              <w:t xml:space="preserve">Servidor</w:t>
            </w:r>
          </w:p>
        </w:tc>
        <w:tc>
          <w:tcPr>
            <w:tcW w:w="0" w:type="auto"/>
          </w:tcPr>
          <w:p>
            <w:pPr>
              <w:spacing w:after="0"/>
            </w:pPr>
            <w:r>
              <w:t xml:space="preserve">Hetzner VPS (Ubuntu 22.04, srv1334142)</w:t>
            </w:r>
          </w:p>
        </w:tc>
      </w:tr>
      <w:tr>
        <w:tc>
          <w:tcPr>
            <w:tcW w:w="0" w:type="auto"/>
            <w:shd w:val="clear" w:color="auto" w:fill="F8FAFC"/>
          </w:tcPr>
          <w:p>
            <w:pPr>
              <w:spacing w:after="0"/>
            </w:pPr>
            <w:r>
              <w:t xml:space="preserve">Orquestación</w:t>
            </w:r>
          </w:p>
        </w:tc>
        <w:tc>
          <w:tcPr>
            <w:tcW w:w="0" w:type="auto"/>
            <w:shd w:val="clear" w:color="auto" w:fill="F8FAFC"/>
          </w:tcPr>
          <w:p>
            <w:pPr>
              <w:spacing w:after="0"/>
            </w:pPr>
            <w:r>
              <w:t xml:space="preserve">Docker + docker-compose (archivo docker-compose.prod.yml)</w:t>
            </w:r>
          </w:p>
        </w:tc>
      </w:tr>
      <w:tr>
        <w:tc>
          <w:tcPr>
            <w:tcW w:w="0" w:type="auto"/>
          </w:tcPr>
          <w:p>
            <w:pPr>
              <w:spacing w:after="0"/>
            </w:pPr>
            <w:r>
              <w:t xml:space="preserve">Reverse proxy</w:t>
            </w:r>
          </w:p>
        </w:tc>
        <w:tc>
          <w:tcPr>
            <w:tcW w:w="0" w:type="auto"/>
          </w:tcPr>
          <w:p>
            <w:pPr>
              <w:spacing w:after="0"/>
            </w:pPr>
            <w:r>
              <w:t xml:space="preserve">Traefik v2</w:t>
            </w:r>
          </w:p>
        </w:tc>
      </w:tr>
      <w:tr>
        <w:tc>
          <w:tcPr>
            <w:tcW w:w="0" w:type="auto"/>
            <w:shd w:val="clear" w:color="auto" w:fill="F8FAFC"/>
          </w:tcPr>
          <w:p>
            <w:pPr>
              <w:spacing w:after="0"/>
            </w:pPr>
            <w:r>
              <w:t xml:space="preserve">TLS</w:t>
            </w:r>
          </w:p>
        </w:tc>
        <w:tc>
          <w:tcPr>
            <w:tcW w:w="0" w:type="auto"/>
            <w:shd w:val="clear" w:color="auto" w:fill="F8FAFC"/>
          </w:tcPr>
          <w:p>
            <w:pPr>
              <w:spacing w:after="0"/>
            </w:pPr>
            <w:r>
              <w:t xml:space="preserve">Let's Encrypt (renovación automática)</w:t>
            </w:r>
          </w:p>
        </w:tc>
      </w:tr>
      <w:tr>
        <w:tc>
          <w:tcPr>
            <w:tcW w:w="0" w:type="auto"/>
          </w:tcPr>
          <w:p>
            <w:pPr>
              <w:spacing w:after="0"/>
            </w:pPr>
            <w:r>
              <w:t xml:space="preserve">Dominio</w:t>
            </w:r>
          </w:p>
        </w:tc>
        <w:tc>
          <w:tcPr>
            <w:tcW w:w="0" w:type="auto"/>
          </w:tcPr>
          <w:p>
            <w:pPr>
              <w:spacing w:after="0"/>
            </w:pPr>
            <w:r>
              <w:t xml:space="preserve">geodatabase.mcconsultorias.com.co</w:t>
            </w:r>
          </w:p>
        </w:tc>
      </w:tr>
      <w:tr>
        <w:tc>
          <w:tcPr>
            <w:tcW w:w="0" w:type="auto"/>
            <w:shd w:val="clear" w:color="auto" w:fill="F8FAFC"/>
          </w:tcPr>
          <w:p>
            <w:pPr>
              <w:spacing w:after="0"/>
            </w:pPr>
            <w:r>
              <w:t xml:space="preserve">DNS</w:t>
            </w:r>
          </w:p>
        </w:tc>
        <w:tc>
          <w:tcPr>
            <w:tcW w:w="0" w:type="auto"/>
            <w:shd w:val="clear" w:color="auto" w:fill="F8FAFC"/>
          </w:tcPr>
          <w:p>
            <w:pPr>
              <w:spacing w:after="0"/>
            </w:pPr>
            <w:r>
              <w:t xml:space="preserve">Apunta a 2.24.97.152</w:t>
            </w:r>
          </w:p>
        </w:tc>
      </w:tr>
    </w:tbl>
    <w:p>
      <w:pPr/>
      <w:r>
        <w:rPr>
          <w:i/>
        </w:rPr>
        <w:t xml:space="preserve">Esta configuración está documentada en 10-INFRAESTRUCTURA-PRODUCCION.md (Operación por 1 año) y en docker-compose.prod.yml del repositorio. La decisión de self-hosting se justificó en su momento por el menor costo operativo (USD 130–180/año vs. USD 300–480/año de un stack gestionado equivalente en Railway/Supabase/Cloudflare).</w:t>
      </w:r>
    </w:p>
    <w:p>
      <w:r>
        <w:br w:type="page"/>
      </w:r>
    </w:p>
    <w:p>
      <w:pPr>
        <w:pStyle w:val="Heading1"/>
      </w:pPr>
      <w:r>
        <w:t>6. Cierre y siguiente paso</w:t>
      </w:r>
    </w:p>
    <w:p>
      <w:pPr/>
      <w:r>
        <w:rPr/>
        <w:t xml:space="preserve">El estado actual del despliegue es inconsistente con lo declarado en el Informe Técnico de Avance (Anexo 1) y en la Solicitud de Desembolso de la cláusula 3.2. Antes de proceder con el pago, se recomienda:</w:t>
      </w:r>
    </w:p>
    <w:p>
      <w:pPr>
        <w:ind w:left="360" w:hanging="360"/>
        <w:spacing w:after="80"/>
      </w:pPr>
      <w:r>
        <w:rPr>
          <w:b/>
          <w:color w:val="2E8B8B"/>
        </w:rPr>
        <w:t>1. </w:t>
      </w:r>
      <w:r>
        <w:t>Restablecer la disponibilidad del VPS y de la URL geodatabase.mcconsultorias.com.co.</w:t>
      </w:r>
    </w:p>
    <w:p>
      <w:pPr>
        <w:ind w:left="360" w:hanging="360"/>
        <w:spacing w:after="80"/>
      </w:pPr>
      <w:r>
        <w:rPr>
          <w:b/>
          <w:color w:val="2E8B8B"/>
        </w:rPr>
        <w:t>2. </w:t>
      </w:r>
      <w:r>
        <w:t>Verificar de extremo a extremo (carga del visor, login, consulta de zonas, carga de capas) y documentar con capturas de pantalla que se integren al Anexo 2.</w:t>
      </w:r>
    </w:p>
    <w:p>
      <w:pPr>
        <w:ind w:left="360" w:hanging="360"/>
        <w:spacing w:after="80"/>
      </w:pPr>
      <w:r>
        <w:rPr>
          <w:b/>
          <w:color w:val="2E8B8B"/>
        </w:rPr>
        <w:t>3. </w:t>
      </w:r>
      <w:r>
        <w:t>Actualizar el Anexo 1 (Informe Técnico) y la Solicitud de Desembolso para que reflejen el estado real posterior al restablecimiento, con la fecha exacta de la verificación funcional.</w:t>
      </w:r>
    </w:p>
    <w:p>
      <w:pPr>
        <w:ind w:left="360" w:hanging="360"/>
        <w:spacing w:after="80"/>
      </w:pPr>
      <w:r>
        <w:rPr>
          <w:b/>
          <w:color w:val="2E8B8B"/>
        </w:rPr>
        <w:t>4. </w:t>
      </w:r>
      <w:r>
        <w:t>Implementar las acciones de la §4 (health checks externos, runbook de recuperación) para que esta situación no se repita.</w:t>
      </w:r>
    </w:p>
    <w:p>
      <w:pPr/>
      <w:r>
        <w:rPr>
          <w:i/>
        </w:rPr>
        <w:t xml:space="preserve">Reporte generado el 25 de junio de 2026. Este documento se anexa al expediente del contrato UTL:001 como soporte de la verificación independiente de la cláusula 3.2.</w:t>
      </w:r>
    </w:p>
    <w:sectPr>
      <w:pgSz w:w="11906" w:h="16838"/>
      <w:pgMar w:top="1440" w:right="1440" w:bottom="1440" w:left="1440" w:header="720" w:footer="720" w:gutter="0"/>
      <w:headerReference xmlns:r="http://schemas.openxmlformats.org/officeDocument/2006/relationships" w:type="default" r:id="Re28c8feac8534e24"/>
      <w:footerReference xmlns:r="http://schemas.openxmlformats.org/officeDocument/2006/relationships" w:type="default" r:id="R1fb07ad09c214e08"/>
    </w:sectPr>
  </w:body>
</w:document>
</file>

<file path=word/footer1.xml><?xml version="1.0" encoding="utf-8"?>
<w:ftr xmlns:w="http://schemas.openxmlformats.org/wordprocessingml/2006/main">
  <w:tbl>
    <w:tblPr>
      <w:tblW w:w="5000" w:type="pct"/>
      <w:tblBorders>
        <w:top w:val="single" w:color="DC2626" w:sz="4" w:space="0"/>
        <w:bottom w:val="none" w:color="auto" w:sz="0" w:space="0"/>
        <w:left w:val="none" w:color="auto" w:sz="0" w:space="0"/>
        <w:right w:val="none" w:color="auto" w:sz="0" w:space="0"/>
        <w:insideH w:val="none" w:color="auto" w:sz="0" w:space="0"/>
        <w:insideV w:val="none" w:color="auto" w:sz="0" w:space="0"/>
      </w:tblBorders>
      <w:tblCellMar>
        <w:top w:w="40" w:type="dxa"/>
        <w:start w:w="0" w:type="dxa"/>
        <w:bottom w:w="0" w:type="dxa"/>
        <w:end w:w="0" w:type="dxa"/>
      </w:tblCellMar>
    </w:tblPr>
    <w:tblGrid>
      <w:gridCol w:w="6626"/>
      <w:gridCol w:w="2400"/>
    </w:tblGrid>
    <w:tr>
      <w:tc>
        <w:tcPr>
          <w:tcW w:w="6626" w:type="dxa"/>
        </w:tcPr>
        <w:p>
          <w:pPr>
            <w:jc w:val="left"/>
            <w:spacing w:after="0"/>
          </w:pPr>
          <w:r>
            <w:rPr>
              <w:color w:val="595959"/>
              <w:sz w:val="16"/>
            </w:rPr>
            <w:t xml:space="preserve">MC Consultorías &amp; Capacitación S.A.S. · Verificación independiente 25-jun-2026</w:t>
          </w:r>
        </w:p>
      </w:tc>
      <w:tc>
        <w:tcPr>
          <w:tcW w:w="2400" w:type="dxa"/>
        </w:tcPr>
        <w:p>
          <w:pPr>
            <w:jc w:val="right"/>
            <w:spacing w:after="0"/>
          </w:pPr>
          <w:r>
            <w:rPr>
              <w:color w:val="595959"/>
              <w:sz w:val="16"/>
            </w:rPr>
            <w:t xml:space="preserve">Página </w:t>
          </w:r>
          <w:r>
            <w:fldChar w:fldCharType="begin"/>
          </w:r>
          <w:r>
            <w:instrText xml:space="preserve"> PAGE </w:instrText>
          </w:r>
          <w:r>
            <w:fldChar w:fldCharType="separate"/>
          </w:r>
          <w:r>
            <w:rPr>
              <w:color w:val="595959"/>
              <w:sz w:val="16"/>
            </w:rPr>
            <w:t>1</w:t>
          </w:r>
          <w:r>
            <w:fldChar w:fldCharType="end"/>
          </w:r>
          <w:r>
            <w:rPr>
              <w:color w:val="595959"/>
              <w:sz w:val="16"/>
            </w:rPr>
            <w:t xml:space="preserve"> de </w:t>
          </w:r>
          <w:r>
            <w:fldChar w:fldCharType="begin"/>
          </w:r>
          <w:r>
            <w:instrText xml:space="preserve"> NUMPAGES </w:instrText>
          </w:r>
          <w:r>
            <w:fldChar w:fldCharType="separate"/>
          </w:r>
          <w:r>
            <w:rPr>
              <w:color w:val="595959"/>
              <w:sz w:val="16"/>
            </w:rPr>
            <w:t>1</w:t>
          </w:r>
          <w:r>
            <w:fldChar w:fldCharType="end"/>
          </w:r>
        </w:p>
      </w:tc>
    </w:tr>
  </w:tbl>
</w:ftr>
</file>

<file path=word/header1.xml><?xml version="1.0" encoding="utf-8"?>
<w:hdr xmlns:w="http://schemas.openxmlformats.org/wordprocessingml/2006/main">
  <w:p>
    <w:pPr>
      <w:jc w:val="center"/>
      <w:pBdr>
        <w:bottom w:val="single" w:color="DC2626" w:sz="4" w:space="4"/>
      </w:pBdr>
    </w:pPr>
    <w:r>
      <w:rPr>
        <w:color w:val="1F3A5F"/>
        <w:sz w:val="18"/>
        <w:b/>
      </w:rPr>
      <w:t xml:space="preserve">Reporte de despliegue · Verificación de la plataforma en producción</w:t>
    </w:r>
  </w:p>
</w:hdr>
</file>

<file path=word/styles.xml><?xml version="1.0" encoding="utf-8"?>
<w:styles xmlns:w="http://schemas.openxmlformats.org/wordprocessingml/2006/main">
  <w:docDefaults>
    <w:rPrDefault>
      <w:rPr>
        <w:rFonts w:ascii="Calibri" w:hAnsi="Calibri" w:eastAsia="SimSun" w:cs="Calibri"/>
        <w:sz w:val="22"/>
        <w:szCs w:val="22"/>
        <w:color w:val="333333"/>
        <w:lang w:val="es-CO" w:eastAsia="zh-CN"/>
      </w:rPr>
    </w:rPrDefault>
    <w:pPrDefault>
      <w:pPr>
        <w:spacing w:after="160" w:line="276" w:lineRule="auto"/>
      </w:pPr>
    </w:pPrDefault>
  </w:docDefaults>
  <w:style w:type="paragraph" w:styleId="Normal" w:default="true">
    <w:name w:val="Normal"/>
    <w:uiPriority w:val="0"/>
    <w:qFormat/>
  </w:style>
  <w:style w:type="paragraph" w:styleId="Heading1">
    <w:name w:val="heading 1"/>
    <w:basedOn w:val="Normal"/>
    <w:next w:val="Normal"/>
    <w:uiPriority w:val="9"/>
    <w:qFormat/>
    <w:pPr>
      <w:keepNext/>
      <w:keepLines/>
      <w:spacing w:before="480" w:after="120"/>
      <w:outlineLvl w:val="0"/>
    </w:pPr>
    <w:rPr>
      <w:rFonts w:ascii="Calibri" w:hAnsi="Calibri" w:eastAsia="SimSun"/>
      <w:sz w:val="40"/>
      <w:color w:val="1F3A5F"/>
      <w:b/>
    </w:rPr>
  </w:style>
  <w:style w:type="paragraph" w:styleId="Heading2">
    <w:name w:val="heading 2"/>
    <w:basedOn w:val="Normal"/>
    <w:next w:val="Normal"/>
    <w:uiPriority w:val="9"/>
    <w:qFormat/>
    <w:pPr>
      <w:keepNext/>
      <w:keepLines/>
      <w:spacing w:before="360" w:after="80"/>
      <w:outlineLvl w:val="1"/>
    </w:pPr>
    <w:rPr>
      <w:rFonts w:ascii="Calibri" w:hAnsi="Calibri" w:eastAsia="SimSun"/>
      <w:sz w:val="26"/>
      <w:color w:val="2E8B8B"/>
      <w:b/>
    </w:rPr>
  </w:style>
  <w:style w:type="paragraph" w:styleId="Heading3">
    <w:name w:val="heading 3"/>
    <w:basedOn w:val="Normal"/>
    <w:next w:val="Normal"/>
    <w:uiPriority w:val="9"/>
    <w:qFormat/>
    <w:pPr>
      <w:keepNext/>
      <w:keepLines/>
      <w:spacing w:before="240" w:after="80"/>
      <w:outlineLvl w:val="2"/>
    </w:pPr>
    <w:rPr>
      <w:rFonts w:ascii="Calibri" w:hAnsi="Calibri" w:eastAsia="SimSun"/>
      <w:sz w:val="22"/>
      <w:color w:val="1F3A5F"/>
      <w:b/>
    </w:rPr>
  </w:style>
</w:styles>
</file>

<file path=word/_rels/document.xml.rels>&#65279;<?xml version="1.0" encoding="utf-8"?><Relationships xmlns="http://schemas.openxmlformats.org/package/2006/relationships"><Relationship Type="http://schemas.openxmlformats.org/officeDocument/2006/relationships/styles" Target="/word/styles.xml" Id="Rc837e309d8af4aec" /><Relationship Type="http://schemas.openxmlformats.org/officeDocument/2006/relationships/header" Target="/word/header1.xml" Id="Re28c8feac8534e24" /><Relationship Type="http://schemas.openxmlformats.org/officeDocument/2006/relationships/footer" Target="/word/footer1.xml" Id="R1fb07ad09c214e08" /></Relationships>
</file>