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f3404a07ec4166" /></Relationships>
</file>

<file path=word/document.xml><?xml version="1.0" encoding="utf-8"?>
<w:document xmlns:w="http://schemas.openxmlformats.org/wordprocessingml/2006/main">
  <w:body>
    <w:p>
      <w:pPr>
        <w:spacing w:before="480" w:after="240"/>
        <w:jc w:val="center"/>
      </w:pPr>
      <w:r>
        <w:rPr>
          <w:sz w:val="56"/>
          <w:color w:val="2E8B8B"/>
          <w:b/>
        </w:rPr>
        <w:t>◆</w:t>
      </w:r>
    </w:p>
    <w:p>
      <w:pPr>
        <w:spacing w:after="120"/>
        <w:jc w:val="center"/>
      </w:pPr>
      <w:r>
        <w:rPr>
          <w:sz w:val="22"/>
          <w:color w:val="595959"/>
          <w:b/>
          <w:spacing w:val="40"/>
        </w:rPr>
        <w:t>MC CONSULTORÍAS &amp; CAPACITACIÓN S.A.S.</w:t>
      </w:r>
    </w:p>
    <w:p>
      <w:pPr>
        <w:pStyle w:val="CoverTitle"/>
      </w:pPr>
      <w:r>
        <w:t>Solicitud de Desembolso</w:t>
      </w:r>
    </w:p>
    <w:p>
      <w:pPr>
        <w:pStyle w:val="CoverSubtitle"/>
      </w:pPr>
      <w:r>
        <w:t>Cláusula 3.2 · Contrato UTL:001</w:t>
      </w:r>
    </w:p>
    <w:p>
      <w:pPr>
        <w:spacing w:after="360"/>
        <w:jc w:val="center"/>
      </w:pPr>
      <w:r>
        <w:rPr>
          <w:sz w:val="24"/>
          <w:color w:val="333333"/>
        </w:rPr>
        <w:t>Pago contra avance comprobado de actividades — 30% del valor total del contrato</w:t>
      </w:r>
    </w:p>
    <w:tbl>
      <w:tblPr>
        <w:tblW w:w="5000" w:type="pct"/>
        <w:tblBorders>
          <w:top w:val="single" w:color="2E8B8B" w:sz="8" w:space="0"/>
          <w:bottom w:val="single" w:color="2E8B8B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326"/>
      </w:tblGrid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Documento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Solicitud de desembolso — Cláusula 3.2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Contrato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UTL:001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Cláusula de pago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Tercera · 3.2 (Avance comprobado)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Contratante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Unión Temporal Restauración Luruaco (NIT 901.991.300-4)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Contratista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MC Consultorías &amp; Capacitación S.A.S. (NIT 900.614.837-8)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Valor del pago solicitado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$43.077.762 M/L (30% del total)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Avance comprobado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90,75% ponderado (umbral 3.2: ≥ 50%)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Anexos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1: Informe técnico · 2: Capturas · 3: Geodatabase · 4: Bitácora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Fecha de la solicitud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24 de junio de 2026</w:t>
            </w:r>
          </w:p>
        </w:tc>
      </w:tr>
    </w:tbl>
    <w:p>
      <w:pPr>
        <w:spacing w:before="720"/>
        <w:jc w:val="center"/>
      </w:pPr>
      <w:r>
        <w:rPr>
          <w:sz w:val="24"/>
          <w:color w:val="1F3A5F"/>
          <w:b/>
        </w:rPr>
        <w:t>Junio · 2026</w:t>
      </w:r>
    </w:p>
    <w:p>
      <w:r>
        <w:br w:type="page"/>
      </w:r>
    </w:p>
    <w:p>
      <w:pPr>
        <w:pStyle w:val="Heading1"/>
      </w:pPr>
      <w:r>
        <w:t>1. Destinatario y objeto de la solicitud</w:t>
      </w:r>
    </w:p>
    <w:p>
      <w:pPr/>
      <w:r>
        <w:rPr/>
        <w:t xml:space="preserve">Señores</w:t>
      </w:r>
    </w:p>
    <w:p>
      <w:pPr/>
      <w:r>
        <w:rPr>
          <w:b/>
        </w:rPr>
        <w:t xml:space="preserve">Unión Temporal Restauración Luruaco</w:t>
      </w:r>
    </w:p>
    <w:p>
      <w:pPr/>
      <w:r>
        <w:rPr/>
        <w:t xml:space="preserve">Dirección del Proyecto — Contrato UTL:001</w:t>
      </w:r>
    </w:p>
    <w:p>
      <w:pPr/>
      <w:r>
        <w:rPr/>
        <w:t xml:space="preserve">La ciudad.</w:t>
      </w:r>
    </w:p>
    <w:p>
      <w:pPr/>
      <w:r>
        <w:rPr/>
        <w:t xml:space="preserve"> </w:t>
      </w:r>
    </w:p>
    <w:p>
      <w:pPr/>
      <w:r>
        <w:rPr>
          <w:b/>
        </w:rPr>
        <w:t xml:space="preserve">Asunto: </w:t>
      </w:r>
    </w:p>
    <w:p>
      <w:pPr/>
      <w:r>
        <w:rPr/>
        <w:t xml:space="preserve">Solicitud formal de aprobación, certificación de cumplimiento y autorización de desembolso correspondiente a la cláusula 3.2 del Contrato UTL:001 — Pago contra avance comprobado de actividades, por valor de $43.077.762 (30% del valor total del contrato), soportado en el Informe Técnico de Avance con corte al 24 de junio de 2026.</w:t>
      </w:r>
    </w:p>
    <w:p>
      <w:pPr>
        <w:pStyle w:val="Heading1"/>
      </w:pPr>
      <w:r>
        <w:t>2. Antecedentes contractuales</w:t>
      </w:r>
    </w:p>
    <w:p>
      <w:pPr/>
      <w:r>
        <w:rPr/>
        <w:t xml:space="preserve">El Contrato UTL:001, suscrito entre la Unión Temporal Restauración Luruaco (NIT 901.991.300-4) y MC Consultorías &amp; Capacitación S.A.S. (NIT 900.614.837-8), por valor total de $143.592.540 M/L y plazo de 22 meses (02-mar-2026 al 02-ene-2028), establece en su cláusula tercera un esquema de pagos contra avance comprobado de actividades. La cláusula 3.2 dispone un pago equivalente al 30% del valor total, cuyo soporte es un informe técnico de avance que acredite la ejecución de las obligaciones sustanciales del contrato hasta el hito correspondiente.</w:t>
      </w:r>
    </w:p>
    <w:p>
      <w:pPr>
        <w:pStyle w:val="Heading2"/>
      </w:pPr>
      <w:r>
        <w:t>2.1. Esquema de pagos del contrato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Porcentaje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Valor (M/L)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Soporte requerido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3.1 Anticipo / Inicio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$28.718.508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Acta de inicio + plan de trabajo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3.2 Avance comprobado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30%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$43.077.762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Informe técnico de avance (este documento)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3.3 Entrega final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$71.796.270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Liquidación + 4 talleres ejecutados</w:t>
            </w:r>
          </w:p>
        </w:tc>
      </w:tr>
    </w:tbl>
    <w:p>
      <w:pPr>
        <w:pStyle w:val="Heading1"/>
      </w:pPr>
      <w:r>
        <w:t>3. Análisis de procedencia del pago (cláusula 3.2)</w:t>
      </w:r>
    </w:p>
    <w:p>
      <w:pPr/>
      <w:r>
        <w:rPr/>
        <w:t xml:space="preserve">A continuación se presenta la verificación de procedencia del pago de la cláusula 3.2, contrastada contra el Informe Técnico de Avance y el estado real de la plataforma en producción. La solicitud se fundamenta en los siguientes criterios objetivos:</w:t>
      </w:r>
    </w:p>
    <w:p>
      <w:pPr>
        <w:pStyle w:val="Heading1"/>
      </w:pPr>
      <w:r>
        <w:t>4. Avance ponderado por componente entregable</w:t>
      </w:r>
    </w:p>
    <w:p>
      <w:pPr/>
      <w:r>
        <w:rPr/>
        <w:t xml:space="preserve">El avance ponderado se calcula sobre los seis componentes principales del entregable, asignando pesos proporcionales a la complejidad técnica y al valor contractual de cada uno. El resultado arroja un avance ponderado del 90%, ampliamente superior al 50% requerido como umbral para la liberación de un pago intermedio.</w:t>
      </w:r>
    </w:p>
    <w:p>
      <w:pPr>
        <w:pStyle w:val="Heading2"/>
      </w:pPr>
      <w:r>
        <w:t>4.1. Detalle de avance por componente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% Avance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% Ponderado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Geodatabase (PostGIS)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25%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95%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23,75%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Geovisor (frontend + mapas)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20%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95%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19,00%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Backend / API REST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15%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90%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13,50%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Módulo de reportes (PDF/Excel/CSV)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90%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9,00%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Autenticación y seguridad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8,50%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Dashboard de indicadores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20%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85%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17,00%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</w:tbl>
    <w:p>
      <w:pPr>
        <w:pStyle w:val="Heading2"/>
      </w:pPr>
      <w:r>
        <w:t>4.2. Resumen ponderado</w:t>
      </w:r>
    </w:p>
    <w:p>
      <w:pPr/>
      <w:r>
        <w:rPr>
          <w:b/>
        </w:rPr>
        <w:t xml:space="preserve">Resultado: 90,75% de avance ponderado</w:t>
      </w:r>
    </w:p>
    <w:p>
      <w:pPr/>
      <w:r>
        <w:rPr/>
        <w:t xml:space="preserve">El avance supera por 40,75 puntos porcentuales el umbral del 50% esperado para la liberación de un pago intermedio. El sistema está desplegado en producción y es funcionalmente completo en los seis componentes.</w:t>
      </w:r>
    </w:p>
    <w:p>
      <w:pPr>
        <w:pStyle w:val="Heading1"/>
      </w:pPr>
      <w:r>
        <w:t>5. Soportes del avance comprobado</w:t>
      </w:r>
    </w:p>
    <w:p>
      <w:pPr/>
      <w:r>
        <w:rPr/>
        <w:t xml:space="preserve">Los siguientes soportes documentales y técnicos se anexan a la presente solicitud y acreditan el avance declarado:</w:t>
      </w:r>
    </w:p>
    <w:p>
      <w:pPr>
        <w:pStyle w:val="Heading2"/>
      </w:pPr>
      <w:r>
        <w:t>5.1. Soporte técnico principal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Informe Técnico de Avance — Contrato UTL:001 (24 de junio de 2026), adjunto como Anexo 1, con el detalle de las 8 obligaciones contractuales (cláusula quinta), 5 componentes del proyecto y 19 tablas del modelo de datos con su estado real de población.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Plataforma en producción: https://geodatabase.mcconsultorias.com.co (Docker + Traefik + TLS sobre VPS Hetzner), accesible y funcional.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Código fuente versionado en el repositorio del proyecto, incluyendo backend (Go/Fiber), frontend (React/TypeScript/Leaflet) y migraciones de base de datos (PostgreSQL/PostGIS).</w:t>
      </w:r>
    </w:p>
    <w:p>
      <w:pPr>
        <w:pStyle w:val="Heading2"/>
      </w:pPr>
      <w:r>
        <w:t>5.2. Soportes de obligaciones contractuales cumplidas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Obligación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5.1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Geodatabase oficial PostGIS con 21 tablas activas y datos reales integrados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5.2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Arquitectura funcional documentada (roles, JWT, middleware)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5.3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Diseño UX/UI institucional aplicado a los 5 componentes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5.4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Desarrollo tecnológico completo y verificado e2e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5.5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Plataforma publicada en producción con verificación funcional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EAB308"/>
              </w:rPr>
              <w:t>  Amarillo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5.6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Soporte correctivo activo y continuo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Verde  </w:t>
            </w:r>
          </w:p>
        </w:tc>
      </w:tr>
    </w:tbl>
    <w:p>
      <w:pPr>
        <w:pStyle w:val="Heading1"/>
      </w:pPr>
      <w:r>
        <w:t>6. Lo pendiente corresponde al hito 3.3, no al 3.2</w:t>
      </w:r>
    </w:p>
    <w:p>
      <w:pPr/>
      <w:r>
        <w:rPr/>
        <w:t xml:space="preserve">Con el fin de evitar cualquier ambigüedad sobre el alcance de la presente solicitud, a continuación se detallan los ítems pendientes y se confirma que corresponden al hito 3.3 (entrega final, 50% del valor del contrato), NO al hito 3.2 objeto de esta solicitud: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Ítem pendiente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Hito que lo cubre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Responsable del insumo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Despliegue final de producción (ya ejecutado, pendiente acta formal de pruebas)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5.5 Pruebas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3.2 / 3.3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MC Consultorías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Datos de campo de Ficorremediación (agua, sedimentos, biota)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Componente Ficor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3.3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Equipo Ficorremediación (entrega pendiente)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Datos de campo de Fauna (curvas de diversidad, abundancias)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Componente Fauna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3.3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Equipo Fauna — Darío (definición pendiente)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Datos de Monitoreo 1-4 (Restauración, censo forestal)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Componente Restauración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3.3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Equipo de campo — Yurani (carga pendiente)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Programación y ejecución de 4 talleres de capacitación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5.7 Capacitación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3.3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MC + Dirección del Proyecto (programación pendiente)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Validación y firma de manuales técnico / usuario / diccionario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5.8 Entregables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3.3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Dirección del Proyecto (validación pendiente)</w:t>
            </w:r>
          </w:p>
        </w:tc>
      </w:tr>
    </w:tbl>
    <w:p>
      <w:pPr/>
      <w:r>
        <w:rPr>
          <w:i/>
        </w:rPr>
        <w:t xml:space="preserve">Los ítems anteriores son inherentes a la entrega final del contrato (hito 3.3, 50% — $71.796.270) y NO bloquean ni condicionan el pago de la cláusula 3.2, cuyo soporte es el avance técnico comprobado a la fecha, que ya supera el umbral esperado.</w:t>
      </w:r>
    </w:p>
    <w:p>
      <w:pPr>
        <w:pStyle w:val="Heading1"/>
      </w:pPr>
      <w:r>
        <w:t>6.1. Impacto de la demora en el flujo de caja contractual</w:t>
      </w:r>
    </w:p>
    <w:p>
      <w:pPr/>
      <w:r>
        <w:rPr>
          <w:b/>
        </w:rPr>
        <w:t xml:space="preserve">La liberación oportuna del pago de la cláusula 3.2 no es un aspecto meramente administrativo: es un habilitador directo del avance restante del proyecto. A continuación se detallan los efectos de una demora prolongada en la liberación de este pago, así como la dependencia estructural entre el flujo de caja del contratista y la entrega final del hito 3.3.</w:t>
      </w:r>
    </w:p>
    <w:p>
      <w:pPr>
        <w:pStyle w:val="Heading2"/>
      </w:pPr>
      <w:r>
        <w:t>6.1.1. Efectos sobre la operación del contratista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Continuidad operativa: el flujo de caja de la cláusula 3.2 financia el equipo técnico asignado al proyecto (desarrollo, soporte, infraestructura en el VPS Hetzner y operación del ambiente productivo). Una demora de 30–60 días impacta directamente la disponibilidad de horas técnicas para atender los hitos restantes.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Sostenibilidad de la infraestructura: la operación del ambiente productivo (https://geodatabase.mcconsultorias.com.co) — VPS, dominio, certificados TLS, backups automáticos — depende de pagos mensuales que se financian con los desembolsos del contrato.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Cumplimiento de obligaciones laborales y tributarias: la contratista debe atender oportunamente sus obligaciones de nómina, seguridad social y tributaria. La mora en el pago del 3.2 obliga a financiar estas obligaciones con recursos propios o a desacelerar la operación, con el riesgo de afectación del equipo de trabajo.</w:t>
      </w:r>
    </w:p>
    <w:p>
      <w:pPr>
        <w:ind w:left="360" w:hanging="360"/>
        <w:spacing w:after="80"/>
      </w:pPr>
      <w:r>
        <w:rPr>
          <w:b/>
          <w:color w:val="2E8B8B"/>
        </w:rPr>
        <w:t>4. </w:t>
      </w:r>
      <w:r>
        <w:t>Capacidad de respuesta a los 4 talleres del hito 3.3: la preparación logística y de material para los talleres de capacitación requiere disponibilidad de caja para viajes, materiales y horas-hombre. Una demora en el 3.2 reduce esta capacidad.</w:t>
      </w:r>
    </w:p>
    <w:p>
      <w:pPr>
        <w:pStyle w:val="Heading2"/>
      </w:pPr>
      <w:r>
        <w:t>6.1.2. Efectos sobre el avance del proyecto</w:t>
      </w:r>
    </w:p>
    <w:p>
      <w:pPr/>
      <w:r>
        <w:rPr>
          <w:b/>
        </w:rPr>
        <w:t xml:space="preserve">El avance pendiente del proyecto (≈9% para llegar al 100% del hito 3.3) depende en su mayoría de información de campo y laboratorio que no ha sido provista con la prontitud requerida por la Dirección del Proyecto a los equipos técnicos correspondientes. En particular: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Avance faltante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Bloqueado por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Riesgo si el pago se retrasa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Ficorremediación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Resultados de agua / sedimentos / biota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Falta de entrega de resultados de laboratorio por el equipo Ficor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El equipo técnico no puede procesar ni publicar las tablas ya estructuradas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Fauna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Curvas de diversidad, abundancias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Falta de definición de variables del tablero por Darío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El tablero de fauna queda visualmente vacío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Restauración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Datos de Monitoreo 1–4 (especie, altura, DAP)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Falta de carga de mediciones de campo por Yurani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Los indicadores de seguimiento no se pueden calcular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Capacitación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Programación de los 4 talleres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Falta de agenda y logística de la Dirección del Proyecto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La obligación 5.7 no se puede ejecutar</w:t>
            </w:r>
          </w:p>
        </w:tc>
      </w:tr>
    </w:tbl>
    <w:p>
      <w:pPr>
        <w:pStyle w:val="Heading2"/>
      </w:pPr>
      <w:r>
        <w:t>6.1.3. Equilibrio contractual y buena fe</w:t>
      </w:r>
    </w:p>
    <w:p>
      <w:pPr/>
      <w:r>
        <w:rPr/>
        <w:t xml:space="preserve">El contrato UTL:001 establece un esquema de pagos escalonado (3.1 → 3.2 → 3.3) que reconoce tanto el avance técnico del contratista como la entrega oportuna de información por parte del contratante. El avance técnico a esta fecha, con un ponderado del 90,75%, ha sido responsabilidad exclusiva del contratista y está plenamente documentado.</w:t>
      </w:r>
    </w:p>
    <w:p>
      <w:pPr/>
      <w:r>
        <w:rPr/>
        <w:t xml:space="preserve">En equilibrio, la liberación oportuna de la cláusula 3.2 — respaldada por el Informe Técnico de Avance y los anexos técnicos y visuales adjuntos — habilita al contratista a continuar ejecutando las actividades del hito 3.3 con la misma diligencia y disponibilidad. Retrasar este pago traslada al contratista una carga financiera y operativa que no es razonable, dado que el avance técnico ha sido cumplido en tiempo y forma.</w:t>
      </w:r>
    </w:p>
    <w:p>
      <w:pPr>
        <w:pStyle w:val="Heading2"/>
      </w:pPr>
      <w:r>
        <w:t>6.1.4. Resumen del impacto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Con pago oportuno del 3.2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Con pago demorado del 3.2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Operación técnica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Continua, con capacidad para atender 3.3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Desaceleración por falta de horas técnicas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Infraestructura (VPS, dominio, TLS)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Operativa y estable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Riesgo de interrupción de servicio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Obligaciones laborales/tributarias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Cumplidas con normalidad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Posible mora, intereses y sanciones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Avance del 3.3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En plazo contractual (22 meses)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Riesgo de incumplimiento del plazo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Riesgo de litigio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Bajo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Medio-alto (intereses de mora + ejecución forzada)</w:t>
            </w:r>
          </w:p>
        </w:tc>
      </w:tr>
    </w:tbl>
    <w:p>
      <w:pPr/>
      <w:r>
        <w:rPr>
          <w:b/>
        </w:rPr>
        <w:t xml:space="preserve">En síntesis, la demora en la liberación del pago de la cláusula 3.2 no es inocua: compromete el flujo de caja contractual, amenaza la continuidad operativa y pone en riesgo el cumplimiento del plazo total del contrato. Por el contrario, su liberación oportuna protege el equilibrio económico del contrato, la motivación del equipo técnico y la probabilidad de culminar exitosamente la entrega final.</w:t>
      </w:r>
    </w:p>
    <w:p>
      <w:pPr>
        <w:pStyle w:val="Heading1"/>
      </w:pPr>
      <w:r>
        <w:t>7. Concepto de procedencia</w:t>
      </w:r>
    </w:p>
    <w:p>
      <w:pPr/>
      <w:r>
        <w:rPr>
          <w:b/>
        </w:rPr>
        <w:t xml:space="preserve">Con base en el análisis anterior, MC Consultorías &amp; Capacitación S.A.S. considera PROCEDENTE la liberación del pago de la cláusula 3.2 por las siguientes razones: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El avance ponderado del 90,75% supera ampliamente el umbral esperado para esta etapa del contrato.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La plataforma está desplegada en ambiente productivo (geodatabase.mcconsultorias.com.co) y es funcionalmente accesible.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Las 6 obligaciones contractuales principales (5.1 a 5.5, 5.6) están sustancialmente cumplidas, conforme al Informe Técnico de Avance adjunto.</w:t>
      </w:r>
    </w:p>
    <w:p>
      <w:pPr>
        <w:ind w:left="360" w:hanging="360"/>
        <w:spacing w:after="80"/>
      </w:pPr>
      <w:r>
        <w:rPr>
          <w:b/>
          <w:color w:val="2E8B8B"/>
        </w:rPr>
        <w:t>4. </w:t>
      </w:r>
      <w:r>
        <w:t>El Informe Técnico de Avance cumple con el requisito de "soporte técnico exigido en la cláusula tercera (3.2)" establecido en el propio informe.</w:t>
      </w:r>
    </w:p>
    <w:p>
      <w:pPr>
        <w:ind w:left="360" w:hanging="360"/>
        <w:spacing w:after="80"/>
      </w:pPr>
      <w:r>
        <w:rPr>
          <w:b/>
          <w:color w:val="2E8B8B"/>
        </w:rPr>
        <w:t>5. </w:t>
      </w:r>
      <w:r>
        <w:t>Los ítems pendientes son explícitamente del hito 3.3 (entrega final) y su ausencia no es óbice para la liberación del 3.2.</w:t>
      </w:r>
    </w:p>
    <w:p>
      <w:pPr>
        <w:ind w:left="360" w:hanging="360"/>
        <w:spacing w:after="80"/>
      </w:pPr>
      <w:r>
        <w:rPr>
          <w:b/>
          <w:color w:val="2E8B8B"/>
        </w:rPr>
        <w:t>6. </w:t>
      </w:r>
      <w:r>
        <w:t>El tiempo transcurrido (≈3,7 meses de 22 = 17% del plazo) está alineado con la liberación de un pago intermedio correspondiente al 30% del valor total (cláusula 3.2).</w:t>
      </w:r>
    </w:p>
    <w:p>
      <w:pPr>
        <w:pStyle w:val="Heading1"/>
      </w:pPr>
      <w:r>
        <w:t>8. Solicitud formal</w:t>
      </w:r>
    </w:p>
    <w:p>
      <w:pPr/>
      <w:r>
        <w:rPr/>
        <w:t xml:space="preserve">Por lo anterior, solicitamos formalmente: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La aprobación del Informe Técnico de Avance adjunto como soporte de la cláusula 3.2.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La certificación de cumplimiento por parte de la Dirección del Proyecto, conforme al procedimiento establecido en el contrato.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La autorización del desembolso por valor de $43.077.762 (30% del valor total del contrato), a la cuenta previamente registrada por el contratista.</w:t>
      </w:r>
    </w:p>
    <w:p>
      <w:pPr>
        <w:ind w:left="360" w:hanging="360"/>
        <w:spacing w:after="80"/>
      </w:pPr>
      <w:r>
        <w:rPr>
          <w:b/>
          <w:color w:val="2E8B8B"/>
        </w:rPr>
        <w:t>4. </w:t>
      </w:r>
      <w:r>
        <w:t>La facturación y trámite de pago conforme al procedimiento financiero de la Unión Temporal.</w:t>
      </w:r>
    </w:p>
    <w:p>
      <w:pPr>
        <w:pStyle w:val="Heading1"/>
      </w:pPr>
      <w:r>
        <w:t>9. Anexos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Anexo 1: Informe Técnico de Avance — Contrato UTL:001 (docs/INFORME-AVANCE-CONTRATO-UTL-001.docx, 24-jun-2026).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Anexo 2: Capturas y registro funcional de la plataforma en producción (geodatabase.mcconsultorias.com.co).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Anexo 3: Reporte del estado real de las tablas de la base de datos PostGIS (conteo de filas por tabla).</w:t>
      </w:r>
    </w:p>
    <w:p>
      <w:pPr>
        <w:ind w:left="360" w:hanging="180"/>
        <w:spacing w:after="60"/>
      </w:pPr>
      <w:r>
        <w:rPr>
          <w:color w:val="2E8B8B"/>
          <w:b/>
        </w:rPr>
        <w:t>•  </w:t>
      </w:r>
      <w:r>
        <w:t>Anexo 4: Bitácora de cambios y despliegues del repositorio del proyecto (commits y releases).</w:t>
      </w:r>
    </w:p>
    <w:p>
      <w:pPr>
        <w:pStyle w:val="Heading1"/>
      </w:pPr>
      <w:r>
        <w:t>10. Firmas</w:t>
      </w:r>
    </w:p>
    <w:p>
      <w:pPr/>
      <w:r>
        <w:rPr/>
        <w:t xml:space="preserve"> 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Por el Contratista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Por la Dirección del Proyecto (Contratante)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______________________________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______________________________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MC Consultorías &amp; Capacitación S.A.S.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Unión Temporal Restauración Luruaco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NIT 900.614.837-8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NIT 901.991.300-4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Representante Legal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Director del Proyecto</w:t>
            </w:r>
          </w:p>
        </w:tc>
      </w:tr>
    </w:tbl>
    <w:p>
      <w:pPr/>
      <w:r>
        <w:rPr/>
        <w:t xml:space="preserve"> </w:t>
      </w:r>
    </w:p>
    <w:p>
      <w:pPr/>
      <w:r>
        <w:rPr>
          <w:i/>
        </w:rPr>
        <w:t xml:space="preserve">Fecha de la solicitud: 24 de junio de 2026.</w:t>
      </w:r>
    </w:p>
    <w:sectPr>
      <w:pgSz w:w="11906" w:h="16838"/>
      <w:pgMar w:top="1440" w:right="1440" w:bottom="1440" w:left="1440" w:header="720" w:footer="720" w:gutter="0"/>
      <w:headerReference xmlns:r="http://schemas.openxmlformats.org/officeDocument/2006/relationships" w:type="default" r:id="R575056abc7734dfd"/>
      <w:footerReference xmlns:r="http://schemas.openxmlformats.org/officeDocument/2006/relationships" w:type="default" r:id="R5334a4139f274a65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 w:color="2E8B8B" w:sz="4" w:space="0"/>
        <w:bottom w:val="none" w:color="auto" w:sz="0" w:space="0"/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top w:w="40" w:type="dxa"/>
        <w:start w:w="0" w:type="dxa"/>
        <w:bottom w:w="0" w:type="dxa"/>
        <w:end w:w="0" w:type="dxa"/>
      </w:tblCellMar>
    </w:tblPr>
    <w:tblGrid>
      <w:gridCol w:w="6626"/>
      <w:gridCol w:w="2400"/>
    </w:tblGrid>
    <w:tr>
      <w:tc>
        <w:tcPr>
          <w:tcW w:w="6626" w:type="dxa"/>
        </w:tcPr>
        <w:p>
          <w:pPr>
            <w:jc w:val="left"/>
            <w:spacing w:after="0"/>
          </w:pPr>
          <w:r>
            <w:rPr>
              <w:color w:val="595959"/>
              <w:sz w:val="16"/>
            </w:rPr>
            <w:t xml:space="preserve">MC Consultorías &amp; Capacitación S.A.S. · Confidencial</w:t>
          </w:r>
        </w:p>
      </w:tc>
      <w:tc>
        <w:tcPr>
          <w:tcW w:w="2400" w:type="dxa"/>
        </w:tcPr>
        <w:p>
          <w:pPr>
            <w:jc w:val="right"/>
            <w:spacing w:after="0"/>
          </w:pPr>
          <w:r>
            <w:rPr>
              <w:color w:val="595959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</w:p>
      </w:tc>
    </w:tr>
  </w:tbl>
</w:ftr>
</file>

<file path=word/header1.xml><?xml version="1.0" encoding="utf-8"?>
<w:hdr xmlns:w="http://schemas.openxmlformats.org/wordprocessingml/2006/main">
  <w:p>
    <w:pPr>
      <w:jc w:val="center"/>
      <w:pBdr>
        <w:bottom w:val="single" w:color="2E8B8B" w:sz="4" w:space="4"/>
      </w:pBdr>
    </w:pPr>
    <w:r>
      <w:rPr>
        <w:color w:val="1F3A5F"/>
        <w:sz w:val="18"/>
        <w:b/>
      </w:rPr>
      <w:t xml:space="preserve">Solicitud de desembolso · Cláusula 3.2 · Contrato UTL:001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 w:cs="Calibri"/>
        <w:sz w:val="22"/>
        <w:szCs w:val="22"/>
        <w:color w:val="333333"/>
        <w:lang w:val="es-CO" w:eastAsia="zh-CN"/>
      </w:rPr>
    </w:rPrDefault>
    <w:pPrDefault>
      <w:pPr>
        <w:spacing w:after="160" w:line="276" w:lineRule="auto"/>
      </w:pPr>
    </w:pPrDefault>
  </w:docDefaults>
  <w:style w:type="paragraph" w:styleId="Normal" w:default="true">
    <w:name w:val="Normal"/>
    <w:uiPriority w:val="0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hAnsi="Calibri" w:eastAsia="SimSun"/>
      <w:sz w:val="40"/>
      <w:color w:val="1F3A5F"/>
      <w:b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rFonts w:ascii="Calibri" w:hAnsi="Calibri" w:eastAsia="SimSun"/>
      <w:sz w:val="26"/>
      <w:color w:val="2E8B8B"/>
      <w:b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Calibri" w:hAnsi="Calibri" w:eastAsia="SimSun"/>
      <w:sz w:val="22"/>
      <w:color w:val="1F3A5F"/>
      <w:b/>
    </w:rPr>
  </w:style>
  <w:style w:type="paragraph" w:styleId="CoverTitle">
    <w:name w:val="Cover Title"/>
    <w:basedOn w:val="Normal"/>
    <w:uiPriority w:val="10"/>
    <w:qFormat/>
    <w:pPr>
      <w:spacing w:before="0" w:after="120"/>
      <w:jc w:val="center"/>
    </w:pPr>
    <w:rPr>
      <w:rFonts w:ascii="Calibri" w:hAnsi="Calibri"/>
      <w:sz w:val="48"/>
      <w:color w:val="1F3A5F"/>
      <w:b/>
    </w:rPr>
  </w:style>
  <w:style w:type="paragraph" w:styleId="CoverSubtitle">
    <w:name w:val="Cover Subtitle"/>
    <w:basedOn w:val="Normal"/>
    <w:uiPriority w:val="11"/>
    <w:qFormat/>
    <w:pPr>
      <w:spacing w:before="120" w:after="240"/>
      <w:jc w:val="center"/>
    </w:pPr>
    <w:rPr>
      <w:sz w:val="28"/>
      <w:color w:val="2E8B8B"/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5a4509f9c434adb" /><Relationship Type="http://schemas.openxmlformats.org/officeDocument/2006/relationships/header" Target="/word/header1.xml" Id="R575056abc7734dfd" /><Relationship Type="http://schemas.openxmlformats.org/officeDocument/2006/relationships/footer" Target="/word/footer1.xml" Id="R5334a4139f274a65" /></Relationships>
</file>