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FarmConnect</w:t>
      </w:r>
    </w:p>
    <w:p>
      <w:pPr>
        <w:spacing w:after="40"/>
      </w:pPr>
      <w:r>
        <w:rPr>
          <w:b w:val="0"/>
          <w:i/>
          <w:sz w:val="28"/>
        </w:rPr>
        <w:t>System &amp; Experimental Description</w:t>
      </w:r>
    </w:p>
    <w:p>
      <w:pPr>
        <w:spacing w:after="360"/>
      </w:pPr>
      <w:r>
        <w:rPr>
          <w:b w:val="0"/>
          <w:i/>
          <w:sz w:val="22"/>
        </w:rPr>
        <w:t>A pan-African AI-assisted farmer-to-buyer marketplace</w:t>
      </w:r>
    </w:p>
    <w:p>
      <w:pPr>
        <w:pStyle w:val="Heading1"/>
      </w:pPr>
      <w:r>
        <w:t>1. Overview</w:t>
      </w:r>
    </w:p>
    <w:p>
      <w:pPr>
        <w:spacing w:after="120"/>
      </w:pPr>
      <w:r>
        <w:rPr>
          <w:b w:val="0"/>
          <w:i w:val="0"/>
        </w:rPr>
        <w:t>FarmConnect is a web-based agricultural marketplace that connects smallholder farmers across all 54 African countries directly with buyers, eliminating middlemen. Beyond basic marketplace functions (listings, messaging, orders, ratings), the platform integrates five AI/ML subsystems: fair-price estimation, a retrieval-augmented farming assistant, computer-vision produce quality inspection, behavioural recommendations, and multilingual translation.</w:t>
      </w:r>
    </w:p>
    <w:p>
      <w:pPr>
        <w:pStyle w:val="Heading1"/>
      </w:pPr>
      <w:r>
        <w:t>2. Architecture</w:t>
      </w:r>
    </w:p>
    <w:p>
      <w:pPr>
        <w:spacing w:after="120"/>
      </w:pPr>
      <w:r>
        <w:rPr>
          <w:b w:val="0"/>
          <w:i w:val="0"/>
        </w:rPr>
        <w:t>The application is a Python Flask monolith served by gunicorn, deployed on Render (Frankfurt region). Persistent data lives in Supabase Postgres (eu-west-1, accessed through a session-pooled connection with an application-side connection pool) and listing photos in Supabase Storage. The front end is server-rendered Jinja2 with vanilla JavaScript. Latency engineering reduced typical page render time from ~2.4 s to ~0.6 s by introducing connection pooling, per-request user caching (eliminating an N+1 query pattern), and query batching.</w:t>
      </w:r>
    </w:p>
    <w:p>
      <w:pPr>
        <w:pStyle w:val="Heading1"/>
      </w:pPr>
      <w:r>
        <w:t>3. AI Models and Methods</w:t>
      </w:r>
    </w:p>
    <w:tbl>
      <w:tblPr>
        <w:tblStyle w:val="LightGrid-Accent6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Subsystem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Model / 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Provider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Price estimation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RandomForestRegressor (300 trees)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scikit-learn (local)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Farming assistant (text)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Llama 3.3 70B Instruct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Hugging Face router → Groq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Photo quality inspection (vision)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Llama 4 Scout 17B-16E Instruct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Hugging Face router → Groq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Recommendations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Transparent pattern-mining (SQL + Python)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Translate via deep-translator, with in-browser fallback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external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Embeddings (optional RAG backend)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all-MiniLM-L6-v2 (384-dim)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sentence-transformers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t>3.1 AI price estimation</w:t>
      </w:r>
    </w:p>
    <w:p>
      <w:pPr>
        <w:spacing w:after="120"/>
      </w:pPr>
      <w:r>
        <w:rPr>
          <w:b w:val="0"/>
          <w:i w:val="0"/>
        </w:rPr>
        <w:t>A RandomForestRegressor (scikit-learn; 300 estimators, min_samples_leaf = 2) predicts a fair price per kilogram from four features: crop, country, month, and quantity. Categorical features are one-hot encoded; the month is encoded as cyclical sine/cosine pairs so December and January are adjacent in feature space. Training data comprises 8,042 rows spanning 54 countries × 10 staple crops: synthetic prices anchored on a per-crop USD reference table converted into each country's local currency, with seasonal (harvest-cycle) and bulk-discount effects plus Gaussian noise, layered with verified real farmgate prices (Uganda Coffee Development Authority daily market reports, 2023–2026). On a 20% held-out test set the model reaches R² = 0.986. Rather than a point estimate, the system reports a fair range by taking the 10th–90th percentiles of the individual trees' predictions. Model estimates are blended at serving time with recency-weighted averages of real, currently active listings (14-day half-life).</w:t>
      </w:r>
    </w:p>
    <w:p>
      <w:pPr>
        <w:pStyle w:val="Heading2"/>
      </w:pPr>
      <w:r>
        <w:t>3.2 Farming assistant (RAG)</w:t>
      </w:r>
    </w:p>
    <w:p>
      <w:pPr>
        <w:spacing w:after="120"/>
      </w:pPr>
      <w:r>
        <w:rPr>
          <w:b w:val="0"/>
          <w:i w:val="0"/>
        </w:rPr>
        <w:t>The assistant answers agronomy questions using retrieval-augmented generation over a curated knowledge base of ~300 Markdown documents (crops, pests, diseases, storage, irrigation, market practice). Retrieval uses a local hybrid BM25 + TF-IDF engine with confidence scoring; a pgvector/embedding backend (all-MiniLM-L6-v2, 384-dim) is supported as an alternative. Generation uses Llama 3.3 70B Instruct served by Groq through the Hugging Face inference router (sub-second generation; ~1.8 s end-to-end including retrieval). The assistant enforces safety guardrails: it answers only from retrieved context, refuses to invent prices, appends consult-an-expert advisories on severity triggers (e.g. outbreaks, aflatoxin), reports a confidence band with every answer, and degrades gracefully to fully extractive, citation-only answers if no model is reachable. Questions and answers are transparently translated to and from the farmer's language.</w:t>
      </w:r>
    </w:p>
    <w:p>
      <w:pPr>
        <w:pStyle w:val="Heading2"/>
      </w:pPr>
      <w:r>
        <w:t>3.3 Photo quality inspection (vision)</w:t>
      </w:r>
    </w:p>
    <w:p>
      <w:pPr>
        <w:spacing w:after="120"/>
      </w:pPr>
      <w:r>
        <w:rPr>
          <w:b w:val="0"/>
          <w:i w:val="0"/>
        </w:rPr>
        <w:t>When a farmer attaches a photo to a listing, Llama 4 Scout (17B, 16-expert mixture-of-experts, vision-capable) performs a two-part inspection: (1) gatekeeping — verifying the photo actually depicts the declared crop, rejecting mismatched or unidentifiable images; and (2) quality grading — a 0–10 score over freshness, ripeness, uniformity, and visible damage, with a one-sentence buyer-facing justification. Images are downscaled to ≤1280 px before the API call and stored in Supabase Storage. In testing, the model correctly rated clean produce photos 8–9/10, degraded (blurred/dim) variants of the same produce 6/10, rejected a tractor photo declared as “Tomato”, rejected maize seedlings declared as mature maize, and refused to rate images too blurry to identify — behaviour consistent with its gatekeeping role. Listings without photos, or with the model unavailable, are accepted without a rating rather than blocking the farmer.</w:t>
      </w:r>
    </w:p>
    <w:p>
      <w:pPr>
        <w:pStyle w:val="Heading2"/>
      </w:pPr>
      <w:r>
        <w:t>3.4 “For you” recommendations</w:t>
      </w:r>
    </w:p>
    <w:p>
      <w:pPr>
        <w:spacing w:after="120"/>
      </w:pPr>
      <w:r>
        <w:rPr>
          <w:b w:val="0"/>
          <w:i w:val="0"/>
        </w:rPr>
        <w:t>Recommendations are deliberately a transparent pattern-mining engine rather than a black-box model: every listing's score is a sum of named behavioural signals (purchase recency-weighted crop affinity with a 60-day half-life, browsing/search signals with a 21-day half-life, restock-cycle detection, proximity, and price-vs-market position), and the strongest signals are surfaced verbatim as human-readable reasons (e.g. “You restock Maize about every 30 days — you're due”). Cold-start users receive popularity/proximity-based picks.</w:t>
      </w:r>
    </w:p>
    <w:p>
      <w:pPr>
        <w:pStyle w:val="Heading2"/>
      </w:pPr>
      <w:r>
        <w:t>3.5 Multilingual access</w:t>
      </w:r>
    </w:p>
    <w:p>
      <w:pPr>
        <w:spacing w:after="120"/>
      </w:pPr>
      <w:r>
        <w:rPr>
          <w:b w:val="0"/>
          <w:i w:val="0"/>
        </w:rPr>
        <w:t>The interface supports 21 African and regional languages (Swahili, Hausa, Yoruba, Amharic, Zulu, Wolof, Arabic, and others). Translation is server-side (Google Translate via deep-translator, with per-language caching so each phrase is translated once), with an automatic in-browser fallback path when the server-side route is unavailable — for example when the translation provider rate-limits datacenter IPs. Language choice is made once at onboarding and persists.</w:t>
      </w:r>
    </w:p>
    <w:p>
      <w:pPr>
        <w:pStyle w:val="Heading2"/>
      </w:pPr>
      <w:r>
        <w:t>3.6 Reference pricing</w:t>
      </w:r>
    </w:p>
    <w:p>
      <w:pPr>
        <w:spacing w:after="120"/>
      </w:pPr>
      <w:r>
        <w:rPr>
          <w:b w:val="0"/>
          <w:i w:val="0"/>
        </w:rPr>
        <w:t>For markets with no listing activity, the platform synthesises reference prices from a compact USD/kg band table per crop, converted through live exchange rates (hourly-cached, keyless API) into each country's currency, clearly labelled as estimates — guaranteeing every price board is populated for all 54 supported countries.</w:t>
      </w:r>
    </w:p>
    <w:p>
      <w:pPr>
        <w:pStyle w:val="Heading1"/>
      </w:pPr>
      <w:r>
        <w:t>4. Experimental observations</w:t>
      </w:r>
    </w:p>
    <w:p>
      <w:pPr>
        <w:pStyle w:val="ListBullet"/>
        <w:spacing w:after="40"/>
      </w:pPr>
      <w:r>
        <w:t>Price model: R² = 0.986 on held-out data; prediction ranges widen appropriately in data-sparse country/crop cells.</w:t>
      </w:r>
    </w:p>
    <w:p>
      <w:pPr>
        <w:pStyle w:val="ListBullet"/>
        <w:spacing w:after="40"/>
      </w:pPr>
      <w:r>
        <w:t>Assistant: ~1.8 s median end-to-end answer latency; high-confidence retrieval on in-corpus topics; honest refusal on out-of-corpus queries.</w:t>
      </w:r>
    </w:p>
    <w:p>
      <w:pPr>
        <w:pStyle w:val="ListBullet"/>
        <w:spacing w:after="40"/>
      </w:pPr>
      <w:r>
        <w:t>Vision inspector: ~3–4 s per image; consistent match/mismatch discrimination across produce types; monotonic score degradation with image quality until the model correctly declines to identify.</w:t>
      </w:r>
    </w:p>
    <w:p>
      <w:pPr>
        <w:pStyle w:val="ListBullet"/>
        <w:spacing w:after="40"/>
      </w:pPr>
      <w:r>
        <w:t>Platform latency: 3–4× page-speed improvement from connection pooling and query elimination; deployment co-located with the database (Frankfurt ↔ eu-west-1) to minimise per-query round-trip time.</w:t>
      </w:r>
    </w:p>
    <w:p>
      <w:pPr>
        <w:pStyle w:val="ListBullet"/>
        <w:spacing w:after="40"/>
      </w:pPr>
      <w:r>
        <w:t>Known trade-off: the free Groq tier rate-limits rapid successive vision calls; single-user posting flows are unaffected.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C7C4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7C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41E3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