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rFonts w:ascii="Calibri" w:hAnsi="Calibri" w:eastAsia="" w:cs=""/>
              <w:b w:val="false"/>
              <w:b w:val="false"/>
              <w:bCs w:val="false"/>
              <w:color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93_1496392670">
            <w:r>
              <w:rPr>
                <w:webHidden/>
                <w:rStyle w:val="IndexLink"/>
              </w:rPr>
              <w:t>1 Отчёт по лабораторной работе №6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95_1496392670">
            <w:r>
              <w:rPr>
                <w:webHidden/>
                <w:rStyle w:val="IndexLink"/>
              </w:rPr>
              <w:t>1.1 Содержание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97_1496392670">
            <w:r>
              <w:rPr>
                <w:webHidden/>
                <w:rStyle w:val="IndexLink"/>
              </w:rPr>
              <w:t>1.2 Цель работы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99_1496392670">
            <w:r>
              <w:rPr>
                <w:webHidden/>
                <w:rStyle w:val="IndexLink"/>
              </w:rPr>
              <w:t>1.3 Задание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01_1496392670">
            <w:r>
              <w:rPr>
                <w:webHidden/>
                <w:rStyle w:val="IndexLink"/>
              </w:rPr>
              <w:t>1.4 Выполнение лабораторной работы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03_1496392670">
            <w:r>
              <w:rPr>
                <w:webHidden/>
                <w:rStyle w:val="IndexLink"/>
              </w:rPr>
              <w:t>1.5 Выводы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05_1496392670">
            <w:r>
              <w:rPr>
                <w:webHidden/>
                <w:rStyle w:val="IndexLink"/>
              </w:rPr>
              <w:t>1.6 Список литературы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93_1496392670"/>
      <w:bookmarkStart w:id="1" w:name="отчёт-по-лабораторной-работе-6"/>
      <w:bookmarkEnd w:id="0"/>
      <w:r>
        <w:rPr>
          <w:rStyle w:val="SectionNumber"/>
        </w:rPr>
        <w:t>1</w:t>
      </w:r>
      <w:r>
        <w:rPr/>
        <w:tab/>
        <w:t>Отчёт по лабораторной работе №6</w:t>
      </w:r>
    </w:p>
    <w:p>
      <w:pPr>
        <w:pStyle w:val="FirstParagraph"/>
        <w:rPr/>
      </w:pPr>
      <w:r>
        <w:rPr>
          <w:b/>
          <w:bCs/>
        </w:rPr>
        <w:t>Автор</w:t>
      </w:r>
      <w:r>
        <w:rPr/>
        <w:t>: Тютрюмова Анжелина Артемовна</w:t>
      </w:r>
    </w:p>
    <w:p>
      <w:pPr>
        <w:pStyle w:val="Heading2"/>
        <w:rPr/>
      </w:pPr>
      <w:bookmarkStart w:id="2" w:name="__RefHeading___Toc95_1496392670"/>
      <w:bookmarkStart w:id="3" w:name="содержание"/>
      <w:bookmarkEnd w:id="2"/>
      <w:r>
        <w:rPr>
          <w:rStyle w:val="SectionNumber"/>
        </w:rPr>
        <w:t>1.1</w:t>
      </w:r>
      <w:r>
        <w:rPr/>
        <w:tab/>
        <w:t>Содержание</w:t>
      </w:r>
    </w:p>
    <w:p>
      <w:pPr>
        <w:pStyle w:val="Compact"/>
        <w:numPr>
          <w:ilvl w:val="0"/>
          <w:numId w:val="5"/>
        </w:numPr>
        <w:rPr/>
      </w:pPr>
      <w:hyperlink w:anchor="цель-работы">
        <w:r>
          <w:rPr>
            <w:rStyle w:val="InternetLink"/>
          </w:rPr>
          <w:t>Цель работы</w:t>
        </w:r>
      </w:hyperlink>
    </w:p>
    <w:p>
      <w:pPr>
        <w:pStyle w:val="Compact"/>
        <w:numPr>
          <w:ilvl w:val="0"/>
          <w:numId w:val="1"/>
        </w:numPr>
        <w:rPr/>
      </w:pPr>
      <w:hyperlink w:anchor="задание">
        <w:r>
          <w:rPr>
            <w:rStyle w:val="InternetLink"/>
          </w:rPr>
          <w:t>Задание</w:t>
        </w:r>
      </w:hyperlink>
    </w:p>
    <w:p>
      <w:pPr>
        <w:pStyle w:val="Compact"/>
        <w:numPr>
          <w:ilvl w:val="0"/>
          <w:numId w:val="1"/>
        </w:numPr>
        <w:rPr/>
      </w:pPr>
      <w:hyperlink w:anchor="выполнение-лабораторной-работы">
        <w:r>
          <w:rPr>
            <w:rStyle w:val="InternetLink"/>
          </w:rPr>
          <w:t>Выполнение лабораторной работы</w:t>
        </w:r>
      </w:hyperlink>
    </w:p>
    <w:p>
      <w:pPr>
        <w:pStyle w:val="Compact"/>
        <w:numPr>
          <w:ilvl w:val="0"/>
          <w:numId w:val="1"/>
        </w:numPr>
        <w:rPr/>
      </w:pPr>
      <w:hyperlink w:anchor="выводы">
        <w:r>
          <w:rPr>
            <w:rStyle w:val="InternetLink"/>
          </w:rPr>
          <w:t>Выводы</w:t>
        </w:r>
      </w:hyperlink>
    </w:p>
    <w:p>
      <w:pPr>
        <w:pStyle w:val="Compact"/>
        <w:numPr>
          <w:ilvl w:val="0"/>
          <w:numId w:val="1"/>
        </w:numPr>
        <w:rPr/>
      </w:pPr>
      <w:hyperlink w:anchor="список-литературы">
        <w:bookmarkStart w:id="4" w:name="содержание"/>
        <w:r>
          <w:rPr>
            <w:rStyle w:val="InternetLink"/>
          </w:rPr>
          <w:t>Список литературы</w:t>
        </w:r>
      </w:hyperlink>
      <w:bookmarkEnd w:id="4"/>
    </w:p>
    <w:p>
      <w:pPr>
        <w:pStyle w:val="Heading2"/>
        <w:rPr/>
      </w:pPr>
      <w:bookmarkStart w:id="5" w:name="__RefHeading___Toc97_1496392670"/>
      <w:bookmarkStart w:id="6" w:name="цель-работы"/>
      <w:bookmarkEnd w:id="5"/>
      <w:r>
        <w:rPr>
          <w:rStyle w:val="SectionNumber"/>
        </w:rPr>
        <w:t>1.2</w:t>
      </w:r>
      <w:r>
        <w:rPr/>
        <w:tab/>
        <w:t>Цель работы</w:t>
      </w:r>
    </w:p>
    <w:p>
      <w:pPr>
        <w:pStyle w:val="FirstParagraph"/>
        <w:rPr/>
      </w:pPr>
      <w:bookmarkStart w:id="7" w:name="цель-работы"/>
      <w:r>
        <w:rPr/>
        <w:t>Целью лабораторной работы является освоение арифметических инструкций языка ассемблера NASM.</w:t>
      </w:r>
      <w:bookmarkEnd w:id="7"/>
    </w:p>
    <w:p>
      <w:pPr>
        <w:pStyle w:val="Heading2"/>
        <w:rPr/>
      </w:pPr>
      <w:bookmarkStart w:id="8" w:name="__RefHeading___Toc99_1496392670"/>
      <w:bookmarkStart w:id="9" w:name="задание"/>
      <w:bookmarkEnd w:id="8"/>
      <w:r>
        <w:rPr>
          <w:rStyle w:val="SectionNumber"/>
        </w:rPr>
        <w:t>1.3</w:t>
      </w:r>
      <w:r>
        <w:rPr/>
        <w:tab/>
        <w:t>Задание</w:t>
      </w:r>
    </w:p>
    <w:p>
      <w:pPr>
        <w:pStyle w:val="FirstParagraph"/>
        <w:rPr/>
      </w:pPr>
      <w:r>
        <w:rPr/>
        <w:t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Создать исполняемый файл и проверить его работу для значений x1 и x2.</w:t>
      </w:r>
    </w:p>
    <w:p>
      <w:pPr>
        <w:pStyle w:val="TextBody"/>
        <w:rPr/>
      </w:pPr>
      <w:bookmarkStart w:id="10" w:name="задание"/>
      <w:r>
        <w:rPr/>
        <w:t>Вариант 10. f(x) = 5(x + 18) − 28. x1 = 2, x2 = 3</w:t>
      </w:r>
      <w:bookmarkEnd w:id="10"/>
    </w:p>
    <w:p>
      <w:pPr>
        <w:pStyle w:val="Heading2"/>
        <w:rPr/>
      </w:pPr>
      <w:bookmarkStart w:id="11" w:name="__RefHeading___Toc101_1496392670"/>
      <w:bookmarkStart w:id="12" w:name="выполнение-лабораторной-работы"/>
      <w:bookmarkEnd w:id="11"/>
      <w:r>
        <w:rPr>
          <w:rStyle w:val="SectionNumber"/>
        </w:rPr>
        <w:t>1.4</w:t>
      </w:r>
      <w:r>
        <w:rPr/>
        <w:tab/>
        <w:t>Выполнение лабораторной работы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Создаем копию файл lab6.asm. Сначала выводим запрос и считываем значение x в eax: </w:t>
      </w:r>
      <w:r>
        <w:rPr/>
        <w:drawing>
          <wp:inline distT="0" distB="0" distL="0" distR="0">
            <wp:extent cx="5334000" cy="338899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7"/>
        </w:numPr>
        <w:rPr/>
      </w:pPr>
      <w:r>
        <w:rPr/>
        <w:t xml:space="preserve">Вычисляем значение функции - используем add для добавления, mul для умножения и sub для вычитания: </w:t>
      </w:r>
      <w:r>
        <w:rPr/>
        <w:drawing>
          <wp:inline distT="0" distB="0" distL="0" distR="0">
            <wp:extent cx="5334000" cy="22548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8"/>
        </w:numPr>
        <w:rPr/>
      </w:pPr>
      <w:r>
        <w:rPr/>
        <w:t xml:space="preserve">Выводим результат на экран: </w:t>
      </w:r>
      <w:r>
        <w:rPr/>
        <w:drawing>
          <wp:inline distT="0" distB="0" distL="0" distR="0">
            <wp:extent cx="5334000" cy="18961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rPr/>
      </w:pPr>
      <w:r>
        <w:rPr/>
        <w:t xml:space="preserve">Получaем исполняемый файл и проверяем его работу на двух значениях x: </w:t>
      </w:r>
      <w:r>
        <w:rPr/>
        <w:drawing>
          <wp:inline distT="0" distB="0" distL="0" distR="0">
            <wp:extent cx="5334000" cy="26117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Heading2"/>
        <w:rPr/>
      </w:pPr>
      <w:bookmarkStart w:id="13" w:name="__RefHeading___Toc103_1496392670"/>
      <w:bookmarkStart w:id="14" w:name="выводы"/>
      <w:bookmarkEnd w:id="13"/>
      <w:r>
        <w:rPr>
          <w:rStyle w:val="SectionNumber"/>
        </w:rPr>
        <w:t>1.5</w:t>
      </w:r>
      <w:r>
        <w:rPr/>
        <w:tab/>
        <w:t>Выводы</w:t>
      </w:r>
    </w:p>
    <w:p>
      <w:pPr>
        <w:pStyle w:val="FirstParagraph"/>
        <w:rPr/>
      </w:pPr>
      <w:r>
        <w:rPr/>
        <w:t>По итогам лабораторной работы подготовлен исходный код программы на ассемблере NASM, считывающий строку с клавиатуры значение x, вычисляющий значение f(x) в соответствии с вариантом и выводящий результат на экран.</w:t>
      </w:r>
    </w:p>
    <w:p>
      <w:pPr>
        <w:pStyle w:val="TextBody"/>
        <w:rPr/>
      </w:pPr>
      <w:bookmarkStart w:id="15" w:name="выводы"/>
      <w:r>
        <w:rPr/>
        <w:t>Написанный код был оттранслирован и скомпонован и протестирован на двух значениях согласно варианту. Результаты вычислений совпадают с полученными вручную.</w:t>
      </w:r>
      <w:bookmarkEnd w:id="15"/>
    </w:p>
    <w:p>
      <w:pPr>
        <w:pStyle w:val="Heading2"/>
        <w:rPr/>
      </w:pPr>
      <w:bookmarkStart w:id="16" w:name="__RefHeading___Toc105_1496392670"/>
      <w:bookmarkStart w:id="17" w:name="список-литературы"/>
      <w:bookmarkEnd w:id="16"/>
      <w:r>
        <w:rPr>
          <w:rStyle w:val="SectionNumber"/>
        </w:rPr>
        <w:t>1.6</w:t>
      </w:r>
      <w:r>
        <w:rPr/>
        <w:tab/>
        <w:t>Список литературы</w:t>
      </w:r>
    </w:p>
    <w:p>
      <w:pPr>
        <w:pStyle w:val="Compact"/>
        <w:numPr>
          <w:ilvl w:val="0"/>
          <w:numId w:val="10"/>
        </w:numPr>
        <w:rPr/>
      </w:pPr>
      <w:r>
        <w:rPr/>
        <w:t>GDB: The GNU Project Debugger. — URL: https://www.gnu.org/software/gdb/.</w:t>
      </w:r>
    </w:p>
    <w:p>
      <w:pPr>
        <w:pStyle w:val="Compact"/>
        <w:numPr>
          <w:ilvl w:val="0"/>
          <w:numId w:val="11"/>
        </w:numPr>
        <w:rPr/>
      </w:pPr>
      <w:r>
        <w:rPr/>
        <w:t>GNU Bash Manual. — 2016. — URL: https://www.gnu.org/software/bash/manual/.</w:t>
      </w:r>
    </w:p>
    <w:p>
      <w:pPr>
        <w:pStyle w:val="Compact"/>
        <w:numPr>
          <w:ilvl w:val="0"/>
          <w:numId w:val="12"/>
        </w:numPr>
        <w:rPr/>
      </w:pPr>
      <w:r>
        <w:rPr/>
        <w:t>Midnight Commander Development Center. — 2021. — URL: https://midnight-commander.org/.</w:t>
      </w:r>
    </w:p>
    <w:p>
      <w:pPr>
        <w:pStyle w:val="Compact"/>
        <w:numPr>
          <w:ilvl w:val="0"/>
          <w:numId w:val="13"/>
        </w:numPr>
        <w:rPr/>
      </w:pPr>
      <w:r>
        <w:rPr/>
        <w:t>NASM Assembly Language Tutorials. — 2021. — URL: https://asmtutor.com/. 5 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pStyle w:val="Compact"/>
        <w:numPr>
          <w:ilvl w:val="0"/>
          <w:numId w:val="14"/>
        </w:numPr>
        <w:rPr/>
      </w:pPr>
      <w:r>
        <w:rPr/>
        <w:t>Robbins A. Bash Pocket Reference. — O’Reilly Media, 2016. — 156 с. — ISBN 978-1491941591.</w:t>
      </w:r>
    </w:p>
    <w:p>
      <w:pPr>
        <w:pStyle w:val="Compact"/>
        <w:numPr>
          <w:ilvl w:val="0"/>
          <w:numId w:val="15"/>
        </w:numPr>
        <w:rPr/>
      </w:pPr>
      <w:r>
        <w:rPr/>
        <w:t>The NASM documentation. — 2021. — URL: https://www.nasm.us/docs.php.</w:t>
      </w:r>
    </w:p>
    <w:p>
      <w:pPr>
        <w:pStyle w:val="Compact"/>
        <w:numPr>
          <w:ilvl w:val="0"/>
          <w:numId w:val="16"/>
        </w:numPr>
        <w:rPr/>
      </w:pPr>
      <w:r>
        <w:rPr/>
        <w:t>Zarrelli G. Mastering Bash. — Packt Publishing, 2017. — 502 с. — ISBN 9781784396879.</w:t>
      </w:r>
    </w:p>
    <w:p>
      <w:pPr>
        <w:pStyle w:val="Compact"/>
        <w:numPr>
          <w:ilvl w:val="0"/>
          <w:numId w:val="17"/>
        </w:numPr>
        <w:rPr/>
      </w:pPr>
      <w:r>
        <w:rPr/>
        <w:t>Колдаев В. Д., Лупин С. А. Архитектура ЭВМ. — М. : Форум, 2018.</w:t>
      </w:r>
    </w:p>
    <w:p>
      <w:pPr>
        <w:pStyle w:val="Compact"/>
        <w:numPr>
          <w:ilvl w:val="0"/>
          <w:numId w:val="18"/>
        </w:numPr>
        <w:rPr/>
      </w:pPr>
      <w:r>
        <w:rPr/>
        <w:t>Куляс О. Л., Никитин К. А. Курс программирования на ASSEMBLER. — М. : Солон-Пресс, 2017.</w:t>
      </w:r>
    </w:p>
    <w:p>
      <w:pPr>
        <w:pStyle w:val="Compact"/>
        <w:numPr>
          <w:ilvl w:val="0"/>
          <w:numId w:val="19"/>
        </w:numPr>
        <w:rPr/>
      </w:pPr>
      <w:r>
        <w:rPr/>
        <w:t>Новожилов О. П. Архитектура ЭВМ и систем. — М. : Юрайт, 2016.</w:t>
      </w:r>
    </w:p>
    <w:p>
      <w:pPr>
        <w:pStyle w:val="Compact"/>
        <w:numPr>
          <w:ilvl w:val="0"/>
          <w:numId w:val="20"/>
        </w:numPr>
        <w:rPr/>
      </w:pPr>
      <w:r>
        <w:rPr/>
        <w:t>Расширенный ассемблер: NASM. — 2021. — URL: https://www.opennet.ru/docs/RUS/nasm/.</w:t>
      </w:r>
    </w:p>
    <w:p>
      <w:pPr>
        <w:pStyle w:val="Compact"/>
        <w:numPr>
          <w:ilvl w:val="0"/>
          <w:numId w:val="21"/>
        </w:numPr>
        <w:rPr/>
      </w:pPr>
      <w:r>
        <w:rPr/>
        <w:t>Робачевский А., Немнюгин С., Стесик О. Операционная система UNIX. — 2-е изд. — БХВ-Петербург, 2010. — 656 с. — ISBN 978-5-94157-538-1.</w:t>
      </w:r>
    </w:p>
    <w:p>
      <w:pPr>
        <w:pStyle w:val="Compact"/>
        <w:numPr>
          <w:ilvl w:val="0"/>
          <w:numId w:val="22"/>
        </w:numPr>
        <w:rPr/>
      </w:pPr>
      <w:r>
        <w:rPr/>
        <w:t>Столяров А. Программирование на языке ассемблера NASM для ОС Unix. — 2-е изд. —М. : МАКС Пресс, 2011. — URL: http://www.stolyarov.info/books/asm_unix.</w:t>
      </w:r>
    </w:p>
    <w:p>
      <w:pPr>
        <w:pStyle w:val="Compact"/>
        <w:numPr>
          <w:ilvl w:val="0"/>
          <w:numId w:val="23"/>
        </w:numPr>
        <w:rPr/>
      </w:pPr>
      <w:r>
        <w:rPr/>
        <w:t>Таненбаум Э. Архитектура компьютера. — 6-е изд. — СПб. : Питер, 2013. — 874 с. — (Классика Computer Science).</w:t>
      </w:r>
    </w:p>
    <w:p>
      <w:pPr>
        <w:pStyle w:val="Compact"/>
        <w:numPr>
          <w:ilvl w:val="0"/>
          <w:numId w:val="24"/>
        </w:numPr>
        <w:spacing w:before="36" w:after="36"/>
        <w:rPr/>
      </w:pPr>
      <w:bookmarkStart w:id="18" w:name="отчёт-по-лабораторной-работе-6"/>
      <w:bookmarkStart w:id="19" w:name="список-литературы"/>
      <w:r>
        <w:rPr/>
        <w:t>Таненбаум Э., Бос Х. Современные операционные системы. — 4-е изд. — СПб. : Питер, 2015. — 1120 с. — (Классика Computer Science).</w:t>
      </w:r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LibreOffice/7.4.4.2$Linux_X86_64 LibreOffice_project/40$Build-2</Application>
  <AppVersion>15.0000</AppVersion>
  <Pages>4</Pages>
  <Words>439</Words>
  <Characters>2716</Characters>
  <CharactersWithSpaces>3129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2024-11-01T13:42:56Z</dcterms:created>
  <dc:creator/>
  <dc:description/>
  <dc:language>en-US</dc:language>
  <cp:lastModifiedBy/>
  <dcterms:modified xsi:type="dcterms:W3CDTF">2024-11-01T16:43:14Z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