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Тютрюмова</w:t>
      </w:r>
      <w:r>
        <w:t xml:space="preserve"> </w:t>
      </w:r>
      <w:r>
        <w:t xml:space="preserve">Анжелина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и перешла в директорию для лабораторной работы создала файл lab9-1.asm (рис. 1).</w:t>
      </w:r>
    </w:p>
    <w:p>
      <w:pPr>
        <w:pStyle w:val="CaptionedFigure"/>
      </w:pPr>
      <w:r>
        <w:drawing>
          <wp:inline>
            <wp:extent cx="3733800" cy="826511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Переписала код с лабараторной работы(рис. 2).</w:t>
      </w:r>
    </w:p>
    <w:p>
      <w:pPr>
        <w:pStyle w:val="CaptionedFigure"/>
      </w:pPr>
      <w:r>
        <w:drawing>
          <wp:inline>
            <wp:extent cx="3733800" cy="3523547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DB 'Введите x: ',0</w:t>
      </w:r>
      <w:r>
        <w:br/>
      </w:r>
      <w:r>
        <w:rPr>
          <w:rStyle w:val="VerbatimChar"/>
        </w:rPr>
        <w:t xml:space="preserve">    result: DB '2x+7=',0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RESB 80</w:t>
      </w:r>
      <w:r>
        <w:br/>
      </w:r>
      <w:r>
        <w:rPr>
          <w:rStyle w:val="VerbatimChar"/>
        </w:rPr>
        <w:t xml:space="preserve">    res: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Основная программа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br/>
      </w:r>
      <w:r>
        <w:rPr>
          <w:rStyle w:val="VerbatimChar"/>
        </w:rPr>
        <w:t xml:space="preserve">    mov eax, 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x</w:t>
      </w:r>
      <w:r>
        <w:br/>
      </w:r>
      <w:r>
        <w:rPr>
          <w:rStyle w:val="VerbatimChar"/>
        </w:rPr>
        <w:t xml:space="preserve">    mov edx, 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br/>
      </w:r>
      <w:r>
        <w:rPr>
          <w:rStyle w:val="VerbatimChar"/>
        </w:rPr>
        <w:t xml:space="preserve">    call _calcul        ; Вызов подпрограммы _calcul</w:t>
      </w:r>
      <w:r>
        <w:br/>
      </w:r>
      <w:r>
        <w:br/>
      </w:r>
      <w:r>
        <w:rPr>
          <w:rStyle w:val="VerbatimChar"/>
        </w:rPr>
        <w:t xml:space="preserve">    mov eax,result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eax,[res]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выражения "2x+7"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    mov ebx,2</w:t>
      </w:r>
      <w:r>
        <w:br/>
      </w:r>
      <w:r>
        <w:rPr>
          <w:rStyle w:val="VerbatimChar"/>
        </w:rPr>
        <w:t xml:space="preserve">    mul ebx</w:t>
      </w:r>
      <w:r>
        <w:br/>
      </w:r>
      <w:r>
        <w:rPr>
          <w:rStyle w:val="VerbatimChar"/>
        </w:rPr>
        <w:t xml:space="preserve">    add eax,7</w:t>
      </w:r>
      <w:r>
        <w:br/>
      </w:r>
      <w:r>
        <w:rPr>
          <w:rStyle w:val="VerbatimChar"/>
        </w:rPr>
        <w:t xml:space="preserve">    mov [res],eax</w:t>
      </w:r>
      <w:r>
        <w:br/>
      </w:r>
      <w:r>
        <w:rPr>
          <w:rStyle w:val="VerbatimChar"/>
        </w:rPr>
        <w:t xml:space="preserve">ret ; выход из подпрограммы</w:t>
      </w:r>
    </w:p>
    <w:p>
      <w:pPr>
        <w:pStyle w:val="FirstParagraph"/>
      </w:pPr>
      <w:r>
        <w:t xml:space="preserve">Создала исполняемый файл и запустила его. (рис. 3).</w:t>
      </w:r>
    </w:p>
    <w:p>
      <w:pPr>
        <w:pStyle w:val="CaptionedFigure"/>
      </w:pPr>
      <w:r>
        <w:drawing>
          <wp:inline>
            <wp:extent cx="3733800" cy="669266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Создала файл lab09-2.asm с кодом из лабараторной работы.(Программа печати</w:t>
      </w:r>
      <w:r>
        <w:t xml:space="preserve"> </w:t>
      </w:r>
      <w:r>
        <w:t xml:space="preserve">сообщения Hello world!)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    msg1: db "Hello, ",0x0</w:t>
      </w:r>
      <w:r>
        <w:br/>
      </w:r>
      <w:r>
        <w:rPr>
          <w:rStyle w:val="VerbatimChar"/>
        </w:rPr>
        <w:t xml:space="preserve">        msg1Len: equ $ - msg1</w:t>
      </w:r>
      <w:r>
        <w:br/>
      </w:r>
      <w:r>
        <w:rPr>
          <w:rStyle w:val="VerbatimChar"/>
        </w:rPr>
        <w:t xml:space="preserve">        msg2: db "world!",0xa</w:t>
      </w:r>
      <w:r>
        <w:br/>
      </w:r>
      <w:r>
        <w:rPr>
          <w:rStyle w:val="VerbatimChar"/>
        </w:rPr>
        <w:t xml:space="preserve">        msg2Len: equ $ - msg2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mov ebx, 1</w:t>
      </w:r>
      <w:r>
        <w:br/>
      </w:r>
      <w:r>
        <w:rPr>
          <w:rStyle w:val="VerbatimChar"/>
        </w:rPr>
        <w:t xml:space="preserve">    mov ecx, msg1</w:t>
      </w:r>
      <w:r>
        <w:br/>
      </w:r>
      <w:r>
        <w:rPr>
          <w:rStyle w:val="VerbatimChar"/>
        </w:rPr>
        <w:t xml:space="preserve">    mov edx, msg1Len</w:t>
      </w:r>
      <w:r>
        <w:br/>
      </w:r>
      <w:r>
        <w:rPr>
          <w:rStyle w:val="VerbatimChar"/>
        </w:rPr>
        <w:t xml:space="preserve">    int 0x80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mov ebx, 1</w:t>
      </w:r>
      <w:r>
        <w:br/>
      </w:r>
      <w:r>
        <w:rPr>
          <w:rStyle w:val="VerbatimChar"/>
        </w:rPr>
        <w:t xml:space="preserve">    mov ecx, msg2</w:t>
      </w:r>
      <w:r>
        <w:br/>
      </w:r>
      <w:r>
        <w:rPr>
          <w:rStyle w:val="VerbatimChar"/>
        </w:rPr>
        <w:t xml:space="preserve">    mov edx, msg2Len</w:t>
      </w:r>
      <w:r>
        <w:br/>
      </w:r>
      <w:r>
        <w:rPr>
          <w:rStyle w:val="VerbatimChar"/>
        </w:rPr>
        <w:t xml:space="preserve">    int 0x80</w:t>
      </w:r>
      <w:r>
        <w:br/>
      </w:r>
      <w:r>
        <w:rPr>
          <w:rStyle w:val="VerbatimChar"/>
        </w:rPr>
        <w:t xml:space="preserve">    mov eax, 1</w:t>
      </w:r>
      <w:r>
        <w:br/>
      </w:r>
      <w:r>
        <w:rPr>
          <w:rStyle w:val="VerbatimChar"/>
        </w:rPr>
        <w:t xml:space="preserve">    mov ebx, 0</w:t>
      </w:r>
      <w:r>
        <w:br/>
      </w:r>
      <w:r>
        <w:rPr>
          <w:rStyle w:val="VerbatimChar"/>
        </w:rPr>
        <w:t xml:space="preserve">    int 0x80</w:t>
      </w:r>
    </w:p>
    <w:p>
      <w:pPr>
        <w:pStyle w:val="FirstParagraph"/>
      </w:pPr>
      <w:r>
        <w:t xml:space="preserve">Получила исполняемый файл. Для работы с GDB добавила в исполняемый файл отладочную информацию, трансляцией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Загрузила исполняемый файл в отладчике gdb. (рис. 4).</w:t>
      </w:r>
    </w:p>
    <w:p>
      <w:pPr>
        <w:pStyle w:val="CaptionedFigure"/>
      </w:pPr>
      <w:r>
        <w:drawing>
          <wp:inline>
            <wp:extent cx="3733800" cy="1760653"/>
            <wp:effectExtent b="0" l="0" r="0" t="0"/>
            <wp:docPr descr="Рис. 4: Отладчике gdb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Отладчике gdb</w:t>
      </w:r>
    </w:p>
    <w:p>
      <w:pPr>
        <w:pStyle w:val="BodyText"/>
      </w:pPr>
      <w:r>
        <w:t xml:space="preserve">Проверила работу программы, запустив ее в оболочке GDB с помощью команды run. (рис. 5).</w:t>
      </w:r>
    </w:p>
    <w:p>
      <w:pPr>
        <w:pStyle w:val="CaptionedFigure"/>
      </w:pPr>
      <w:r>
        <w:drawing>
          <wp:inline>
            <wp:extent cx="3733800" cy="1450368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Для более подробного анализа программы установила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запустила её. ( рис. 6).</w:t>
      </w:r>
    </w:p>
    <w:p>
      <w:pPr>
        <w:pStyle w:val="CaptionedFigure"/>
      </w:pPr>
      <w:r>
        <w:drawing>
          <wp:inline>
            <wp:extent cx="3733800" cy="1234611"/>
            <wp:effectExtent b="0" l="0" r="0" t="0"/>
            <wp:docPr descr="Рис. 6: Добавление брейкпоин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брейкпоинта</w:t>
      </w:r>
    </w:p>
    <w:p>
      <w:pPr>
        <w:pStyle w:val="BodyText"/>
      </w:pPr>
      <w:r>
        <w:t xml:space="preserve">Посмотрела дисассимилированный код программы с помощью команды disassemble</w:t>
      </w:r>
      <w:r>
        <w:t xml:space="preserve"> </w:t>
      </w:r>
      <w:r>
        <w:t xml:space="preserve">начиная с метки _start (рис. 7).</w:t>
      </w:r>
    </w:p>
    <w:p>
      <w:pPr>
        <w:pStyle w:val="CaptionedFigure"/>
      </w:pPr>
      <w:r>
        <w:drawing>
          <wp:inline>
            <wp:extent cx="3733800" cy="2007741"/>
            <wp:effectExtent b="0" l="0" r="0" t="0"/>
            <wp:docPr descr="Рис. 7: Дисассимилированный код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Дисассимилированный код</w:t>
      </w:r>
    </w:p>
    <w:p>
      <w:pPr>
        <w:pStyle w:val="BodyText"/>
      </w:pPr>
      <w:r>
        <w:t xml:space="preserve">Переключитесь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 рис. 8).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8: Отображение команд с Intel’овским синтаксис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команд с Intel’овским синтаксисом</w:t>
      </w:r>
    </w:p>
    <w:p>
      <w:pPr>
        <w:pStyle w:val="BodyText"/>
      </w:pPr>
      <w:r>
        <w:t xml:space="preserve">Различие отображения синтаксиса машинных команд в режимах ATT и Intel</w:t>
      </w:r>
      <w:r>
        <w:t xml:space="preserve"> </w:t>
      </w:r>
      <w:r>
        <w:t xml:space="preserve">состоит в том, что менется положение название регистраи его значения.</w:t>
      </w:r>
      <w:r>
        <w:t xml:space="preserve"> </w:t>
      </w:r>
      <w:r>
        <w:t xml:space="preserve">Включила режим псевдографики для более удобного анализа программы (рис. 9).</w:t>
      </w:r>
    </w:p>
    <w:p>
      <w:pPr>
        <w:pStyle w:val="CaptionedFigure"/>
      </w:pPr>
      <w:r>
        <w:drawing>
          <wp:inline>
            <wp:extent cx="3733800" cy="2352294"/>
            <wp:effectExtent b="0" l="0" r="0" t="0"/>
            <wp:docPr descr="Рис. 9: Результат работ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</w:t>
      </w:r>
    </w:p>
    <w:p>
      <w:pPr>
        <w:pStyle w:val="BodyText"/>
      </w:pPr>
      <w:r>
        <w:t xml:space="preserve">Установила еще одну точку остановки по адресу инструкции.</w:t>
      </w:r>
      <w:r>
        <w:t xml:space="preserve"> </w:t>
      </w:r>
      <w:r>
        <w:t xml:space="preserve">Для этого определила адрес предпоследней инструкции (mov ebx,0x0) и установила точку остановки.</w:t>
      </w:r>
      <w:r>
        <w:t xml:space="preserve"> </w:t>
      </w:r>
      <w:r>
        <w:t xml:space="preserve">Посмотрела информацию о всех установленных брейкпоинтах. (рис. 10, рис. 11, рис. 12).</w:t>
      </w:r>
    </w:p>
    <w:p>
      <w:pPr>
        <w:pStyle w:val="CaptionedFigure"/>
      </w:pPr>
      <w:r>
        <w:drawing>
          <wp:inline>
            <wp:extent cx="3733800" cy="505421"/>
            <wp:effectExtent b="0" l="0" r="0" t="0"/>
            <wp:docPr descr="Рис. 10: Адрес предпоследней инструкци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Адрес предпоследней инструкции</w:t>
      </w:r>
    </w:p>
    <w:p>
      <w:pPr>
        <w:pStyle w:val="CaptionedFigure"/>
      </w:pPr>
      <w:r>
        <w:drawing>
          <wp:inline>
            <wp:extent cx="3733800" cy="398019"/>
            <wp:effectExtent b="0" l="0" r="0" t="0"/>
            <wp:docPr descr="Рис. 11: Установка брейкпоинт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брейкпоинта</w:t>
      </w:r>
    </w:p>
    <w:p>
      <w:pPr>
        <w:pStyle w:val="CaptionedFigure"/>
      </w:pPr>
      <w:r>
        <w:drawing>
          <wp:inline>
            <wp:extent cx="3733800" cy="1074020"/>
            <wp:effectExtent b="0" l="0" r="0" t="0"/>
            <wp:docPr descr="Рис. 12: Информация о брейпоинтах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о брейпоинтах</w:t>
      </w:r>
    </w:p>
    <w:p>
      <w:pPr>
        <w:pStyle w:val="BodyText"/>
      </w:pPr>
      <w:r>
        <w:t xml:space="preserve">Выполнила 5 инструкций с помощью команды si и проследите за изменением</w:t>
      </w:r>
      <w:r>
        <w:t xml:space="preserve"> </w:t>
      </w:r>
      <w:r>
        <w:t xml:space="preserve">значений регистров. Значения регистров eax и eip (рис. 13).</w:t>
      </w:r>
    </w:p>
    <w:p>
      <w:pPr>
        <w:pStyle w:val="CaptionedFigure"/>
      </w:pPr>
      <w:r>
        <w:drawing>
          <wp:inline>
            <wp:extent cx="3733800" cy="1623665"/>
            <wp:effectExtent b="0" l="0" r="0" t="0"/>
            <wp:docPr descr="Рис. 13: Информация о брейпоинтах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Информация о брейпоинтах</w:t>
      </w:r>
    </w:p>
    <w:p>
      <w:pPr>
        <w:pStyle w:val="BodyText"/>
      </w:pPr>
      <w:r>
        <w:t xml:space="preserve">Посмотрела значения переменных msg1 и msg2 по имени (рис. 14).</w:t>
      </w:r>
    </w:p>
    <w:p>
      <w:pPr>
        <w:pStyle w:val="CaptionedFigure"/>
      </w:pPr>
      <w:r>
        <w:drawing>
          <wp:inline>
            <wp:extent cx="3733800" cy="732860"/>
            <wp:effectExtent b="0" l="0" r="0" t="0"/>
            <wp:docPr descr="Рис. 14: Значение переменных msg1 и msg2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Значение переменных msg1 и msg2</w:t>
      </w:r>
    </w:p>
    <w:p>
      <w:pPr>
        <w:pStyle w:val="BodyText"/>
      </w:pPr>
      <w:r>
        <w:t xml:space="preserve">Изменила первый символ переменной msg1 (рис. 15).</w:t>
      </w:r>
    </w:p>
    <w:p>
      <w:pPr>
        <w:pStyle w:val="CaptionedFigure"/>
      </w:pPr>
      <w:r>
        <w:drawing>
          <wp:inline>
            <wp:extent cx="3733800" cy="549645"/>
            <wp:effectExtent b="0" l="0" r="0" t="0"/>
            <wp:docPr descr="Рис. 15: Переменная msg1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Переменная msg1</w:t>
      </w:r>
    </w:p>
    <w:p>
      <w:pPr>
        <w:pStyle w:val="BodyText"/>
      </w:pPr>
      <w:r>
        <w:t xml:space="preserve">Изменила первый символ переменной msg2 (рис. 16).</w:t>
      </w:r>
    </w:p>
    <w:p>
      <w:pPr>
        <w:pStyle w:val="CaptionedFigure"/>
      </w:pPr>
      <w:r>
        <w:drawing>
          <wp:inline>
            <wp:extent cx="3733800" cy="846617"/>
            <wp:effectExtent b="0" l="0" r="0" t="0"/>
            <wp:docPr descr="Рис. 16: Переменная msg2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Переменная msg2</w:t>
      </w:r>
    </w:p>
    <w:p>
      <w:pPr>
        <w:pStyle w:val="BodyText"/>
      </w:pPr>
      <w:r>
        <w:t xml:space="preserve">С помощью команды set изменила значение регистра ebx (рис. 17).</w:t>
      </w:r>
    </w:p>
    <w:p>
      <w:pPr>
        <w:pStyle w:val="CaptionedFigure"/>
      </w:pPr>
      <w:r>
        <w:drawing>
          <wp:inline>
            <wp:extent cx="2235200" cy="774700"/>
            <wp:effectExtent b="0" l="0" r="0" t="0"/>
            <wp:docPr descr="Рис. 17: Значение регистра ebx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Значение регистра ebx</w:t>
      </w:r>
    </w:p>
    <w:p>
      <w:pPr>
        <w:pStyle w:val="BodyText"/>
      </w:pPr>
      <w:r>
        <w:t xml:space="preserve">Завершила выполнение программы с помощью команды continue и выйшла из GDB с помощью команды quit (рис. 18).</w:t>
      </w:r>
    </w:p>
    <w:p>
      <w:pPr>
        <w:pStyle w:val="CaptionedFigure"/>
      </w:pPr>
      <w:r>
        <w:drawing>
          <wp:inline>
            <wp:extent cx="3733800" cy="1233777"/>
            <wp:effectExtent b="0" l="0" r="0" t="0"/>
            <wp:docPr descr="Рис. 18: Завершение работ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работы</w:t>
      </w:r>
    </w:p>
    <w:p>
      <w:pPr>
        <w:pStyle w:val="BodyText"/>
      </w:pPr>
      <w:r>
        <w:t xml:space="preserve">Скопировала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в файл с</w:t>
      </w:r>
      <w:r>
        <w:t xml:space="preserve"> </w:t>
      </w:r>
      <w:r>
        <w:t xml:space="preserve">именем lab09-3.asm.</w:t>
      </w:r>
      <w:r>
        <w:t xml:space="preserve"> </w:t>
      </w:r>
      <w:r>
        <w:t xml:space="preserve">Создала исполняемый файл и загрузила в gdb программу с аргументами и ключом –args. (рис. 19).</w:t>
      </w:r>
    </w:p>
    <w:p>
      <w:pPr>
        <w:pStyle w:val="CaptionedFigure"/>
      </w:pPr>
      <w:r>
        <w:drawing>
          <wp:inline>
            <wp:extent cx="3733800" cy="1605575"/>
            <wp:effectExtent b="0" l="0" r="0" t="0"/>
            <wp:docPr descr="Рис. 19: lab09-3.asm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lab09-3.asm</w:t>
      </w:r>
    </w:p>
    <w:p>
      <w:pPr>
        <w:pStyle w:val="BodyText"/>
      </w:pPr>
      <w:r>
        <w:t xml:space="preserve">Установила точку останова перед первой инструкцией в программе и запустила</w:t>
      </w:r>
      <w:r>
        <w:t xml:space="preserve"> </w:t>
      </w:r>
      <w:r>
        <w:t xml:space="preserve">ее (рис. 20).</w:t>
      </w:r>
    </w:p>
    <w:p>
      <w:pPr>
        <w:pStyle w:val="CaptionedFigure"/>
      </w:pPr>
      <w:r>
        <w:drawing>
          <wp:inline>
            <wp:extent cx="3733800" cy="1149826"/>
            <wp:effectExtent b="0" l="0" r="0" t="0"/>
            <wp:docPr descr="Рис. 20: Информация о брейпоинтах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Информация о брейпоинтах</w:t>
      </w:r>
    </w:p>
    <w:p>
      <w:pPr>
        <w:pStyle w:val="BodyText"/>
      </w:pPr>
      <w:r>
        <w:t xml:space="preserve">Посмотрела позиции стека, в которых распологаются аргументы программы (рис. 21).</w:t>
      </w:r>
    </w:p>
    <w:p>
      <w:pPr>
        <w:pStyle w:val="CaptionedFigure"/>
      </w:pPr>
      <w:r>
        <w:drawing>
          <wp:inline>
            <wp:extent cx="3733800" cy="1463415"/>
            <wp:effectExtent b="0" l="0" r="0" t="0"/>
            <wp:docPr descr="Рис. 21: Позиции стека и аргументы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Позиции стека и аргументы</w:t>
      </w:r>
    </w:p>
    <w:bookmarkEnd w:id="84"/>
    <w:bookmarkStart w:id="97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Преобразовала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f(x)=5(2+x) как подпрограмму. (рис. 22).</w:t>
      </w:r>
    </w:p>
    <w:p>
      <w:pPr>
        <w:pStyle w:val="CaptionedFigure"/>
      </w:pPr>
      <w:r>
        <w:drawing>
          <wp:inline>
            <wp:extent cx="3733800" cy="627178"/>
            <wp:effectExtent b="0" l="0" r="0" t="0"/>
            <wp:docPr descr="Рис. 22: Выполне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Выполнение программы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 db "Результат: ",0</w:t>
      </w:r>
      <w:r>
        <w:br/>
      </w:r>
      <w:r>
        <w:rPr>
          <w:rStyle w:val="VerbatimChar"/>
        </w:rPr>
        <w:t xml:space="preserve">    formula db "Формула:  f(x)=5(2+x)",0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res: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_calcul</w:t>
      </w:r>
      <w:r>
        <w:br/>
      </w:r>
      <w:r>
        <w:rPr>
          <w:rStyle w:val="VerbatimChar"/>
        </w:rPr>
        <w:t xml:space="preserve">    add [res],eax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formula; вывод сообщения "Формула: "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[res]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       ; завершение программы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функции "f(x)=5(2+x)"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    add eax, 2      ; Прибавляем 2</w:t>
      </w:r>
      <w:r>
        <w:br/>
      </w:r>
      <w:r>
        <w:rPr>
          <w:rStyle w:val="VerbatimChar"/>
        </w:rPr>
        <w:t xml:space="preserve">    mov ebx, 5      ; ebx = 5</w:t>
      </w:r>
      <w:r>
        <w:br/>
      </w:r>
      <w:r>
        <w:rPr>
          <w:rStyle w:val="VerbatimChar"/>
        </w:rPr>
        <w:t xml:space="preserve">    mul ebx         ; Умножаем на 5</w:t>
      </w:r>
      <w:r>
        <w:br/>
      </w:r>
      <w:r>
        <w:rPr>
          <w:rStyle w:val="VerbatimChar"/>
        </w:rPr>
        <w:t xml:space="preserve">    ret</w:t>
      </w:r>
    </w:p>
    <w:p>
      <w:pPr>
        <w:pStyle w:val="FirstParagraph"/>
      </w:pPr>
      <w:r>
        <w:t xml:space="preserve">Проверила, что программа при запуске дает неверный результат (рис. 23)</w:t>
      </w:r>
    </w:p>
    <w:p>
      <w:pPr>
        <w:pStyle w:val="CaptionedFigure"/>
      </w:pPr>
      <w:r>
        <w:drawing>
          <wp:inline>
            <wp:extent cx="3733800" cy="412140"/>
            <wp:effectExtent b="0" l="0" r="0" t="0"/>
            <wp:docPr descr="Рис. 23: Выпол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Выполнение программы</w:t>
      </w:r>
    </w:p>
    <w:p>
      <w:pPr>
        <w:pStyle w:val="BodyText"/>
      </w:pPr>
      <w:r>
        <w:t xml:space="preserve">С помощью отладчика GDB, анализируя изменения значений регистров, определила ошибку и исправила ее (рис. 24)</w:t>
      </w:r>
    </w:p>
    <w:p>
      <w:pPr>
        <w:pStyle w:val="CaptionedFigure"/>
      </w:pPr>
      <w:r>
        <w:drawing>
          <wp:inline>
            <wp:extent cx="3733800" cy="3469502"/>
            <wp:effectExtent b="0" l="0" r="0" t="0"/>
            <wp:docPr descr="Рис. 24: Отладчика GDB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Отладчика GDB</w:t>
      </w:r>
    </w:p>
    <w:p>
      <w:pPr>
        <w:pStyle w:val="BodyText"/>
      </w:pPr>
      <w:r>
        <w:t xml:space="preserve">Листинг кода(исправленный):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    SECTION .data</w:t>
      </w:r>
      <w:r>
        <w:br/>
      </w:r>
      <w:r>
        <w:rPr>
          <w:rStyle w:val="VerbatimChar"/>
        </w:rPr>
        <w:t xml:space="preserve">    div: DB 'Результат: ',0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---- Вычисление выражения (3+2)*4+5</w:t>
      </w:r>
      <w:r>
        <w:br/>
      </w:r>
      <w:r>
        <w:rPr>
          <w:rStyle w:val="VerbatimChar"/>
        </w:rPr>
        <w:t xml:space="preserve">        mov ebx,3</w:t>
      </w:r>
      <w:r>
        <w:br/>
      </w:r>
      <w:r>
        <w:rPr>
          <w:rStyle w:val="VerbatimChar"/>
        </w:rPr>
        <w:t xml:space="preserve">        mov eax,2</w:t>
      </w:r>
      <w:r>
        <w:br/>
      </w:r>
      <w:r>
        <w:rPr>
          <w:rStyle w:val="VerbatimChar"/>
        </w:rPr>
        <w:t xml:space="preserve">        add eax,ebx</w:t>
      </w:r>
      <w:r>
        <w:br/>
      </w:r>
      <w:r>
        <w:rPr>
          <w:rStyle w:val="VerbatimChar"/>
        </w:rPr>
        <w:t xml:space="preserve">        mov ecx,4</w:t>
      </w:r>
      <w:r>
        <w:br/>
      </w:r>
      <w:r>
        <w:rPr>
          <w:rStyle w:val="VerbatimChar"/>
        </w:rPr>
        <w:t xml:space="preserve">        mul ecx</w:t>
      </w:r>
      <w:r>
        <w:br/>
      </w:r>
      <w:r>
        <w:rPr>
          <w:rStyle w:val="VerbatimChar"/>
        </w:rPr>
        <w:t xml:space="preserve">        add eax,5</w:t>
      </w:r>
      <w:r>
        <w:br/>
      </w:r>
      <w:r>
        <w:rPr>
          <w:rStyle w:val="VerbatimChar"/>
        </w:rPr>
        <w:t xml:space="preserve">        mov edi,eax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; ---- Вывод результата на экран</w:t>
      </w:r>
      <w:r>
        <w:br/>
      </w:r>
      <w:r>
        <w:rPr>
          <w:rStyle w:val="VerbatimChar"/>
        </w:rPr>
        <w:t xml:space="preserve">    mov eax,div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eax,edi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Проверила корректность исполнения программы (рис. 25)</w:t>
      </w:r>
    </w:p>
    <w:p>
      <w:pPr>
        <w:pStyle w:val="CaptionedFigure"/>
      </w:pPr>
      <w:r>
        <w:drawing>
          <wp:inline>
            <wp:extent cx="3733800" cy="514178"/>
            <wp:effectExtent b="0" l="0" r="0" t="0"/>
            <wp:docPr descr="Рис. 25: Выполне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Выполнение программы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обрела навыки написания программ с использованием подпрограмм. И ознакомилась с методами отладки при помощи GDB и его основными возможностями.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Тютрюмова Анжелина</dc:creator>
  <dc:language>ru-RU</dc:language>
  <cp:keywords/>
  <dcterms:created xsi:type="dcterms:W3CDTF">2024-12-06T23:01:26Z</dcterms:created>
  <dcterms:modified xsi:type="dcterms:W3CDTF">2024-12-06T23:01:26Z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Понятие подпрограммы. Отладчик GDB.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