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PROTO-20260726-210851</w:t>
        <w:br/>
        <w:t>Target: EGFR | Disease: lung cancer</w:t>
        <w:br/>
        <w:t>Type: molecular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molecular</w:t>
      </w:r>
    </w:p>
    <w:p>
      <w:r>
        <w:t>Model: EGFR 重组蛋白 / 质粒系统</w:t>
      </w:r>
    </w:p>
    <w:p>
      <w:r>
        <w:t>Replicates: 3 | Blinding: none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CRISPR-Cas9 knockout / knockin</w:t>
      </w:r>
    </w:p>
    <w:p>
      <w:r>
        <w:t>执行 CRISPR-Cas9 knockout / knockin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验证 EGFR 的敲除效率 (&gt;70%)，排除脱靶效应</w:t>
      </w:r>
    </w:p>
    <w:p>
      <w:pPr>
        <w:pStyle w:val="Heading2"/>
      </w:pPr>
      <w:r>
        <w:t>Step 2: siRNA / shRNA knockdown</w:t>
      </w:r>
    </w:p>
    <w:p>
      <w:r>
        <w:t>执行 siRNA / shRNA knockdown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3: Overexpression plasmid construction</w:t>
      </w:r>
    </w:p>
    <w:p>
      <w:r>
        <w:t>执行 Overexpression plasmid construction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4: Co-immunoprecipitation (Co-IP)</w:t>
      </w:r>
    </w:p>
    <w:p>
      <w:r>
        <w:t>执行 Co-immunoprecipitation (Co-IP)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设置 IgG 阴性对照，裂解液含蛋白酶抑制剂</w:t>
      </w:r>
    </w:p>
    <w:p>
      <w:pPr>
        <w:pStyle w:val="Heading2"/>
      </w:pPr>
      <w:r>
        <w:t>Step 5: Pull-down assay</w:t>
      </w:r>
    </w:p>
    <w:p>
      <w:r>
        <w:t>执行 Pull-down assay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6: Surface plasmon resonance (SPR)</w:t>
      </w:r>
    </w:p>
    <w:p>
      <w:r>
        <w:t>执行 Surface plasmon resonance (SPR)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2026-08-10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2026-08-11 → 2026-08-15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酵母双杂交替代 Co-IP — 高通量筛选互作蛋白 (Cost: +$1000, Time: +14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