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BRCA1 靶点验证方案</w:t>
      </w:r>
    </w:p>
    <w:p>
      <w:r>
        <w:t>Protocol ID: PROTO-20260726-230335</w:t>
        <w:br/>
        <w:t>Target: BRCA1 | Disease: disease</w:t>
        <w:br/>
        <w:t>Type: in_vitro | Version: 1.0</w:t>
        <w:br/>
        <w:t>Status: draft</w:t>
      </w:r>
    </w:p>
    <w:p>
      <w:pPr>
        <w:pStyle w:val="Heading1"/>
      </w:pPr>
      <w:r>
        <w:t>1. Research Objectives</w:t>
      </w:r>
    </w:p>
    <w:p>
      <w:r>
        <w:rPr>
          <w:b/>
        </w:rPr>
        <w:t xml:space="preserve">[HIGH] </w:t>
      </w:r>
      <w:r>
        <w:t>验证 BRCA1 在 disease 中的差异表达</w:t>
      </w:r>
    </w:p>
    <w:p>
      <w:r>
        <w:rPr>
          <w:b/>
        </w:rPr>
        <w:t xml:space="preserve">[HIGH] </w:t>
      </w:r>
      <w:r>
        <w:t>评估 BRCA1 对 disease 细胞增殖/凋亡的功能影响</w:t>
      </w:r>
    </w:p>
    <w:p>
      <w:r>
        <w:rPr>
          <w:b/>
        </w:rPr>
        <w:t xml:space="preserve">[MEDIUM] </w:t>
      </w:r>
      <w:r>
        <w:t>分析 BRCA1 下游信号通路</w:t>
      </w:r>
    </w:p>
    <w:p>
      <w:r>
        <w:rPr>
          <w:b/>
        </w:rPr>
        <w:t xml:space="preserve">[MEDIUM] </w:t>
      </w:r>
      <w:r>
        <w:t>评估 BRCA1 作为治疗靶点的可行性</w:t>
      </w:r>
    </w:p>
    <w:p>
      <w:pPr>
        <w:pStyle w:val="Heading1"/>
      </w:pPr>
      <w:r>
        <w:t>2. Experimental Design</w:t>
      </w:r>
    </w:p>
    <w:p>
      <w:r>
        <w:t>Type: in_vitro</w:t>
      </w:r>
    </w:p>
    <w:p>
      <w:r>
        <w:t>Model: disease 细胞系模型</w:t>
      </w:r>
    </w:p>
    <w:p>
      <w:pPr>
        <w:pStyle w:val="ListBullet"/>
      </w:pPr>
      <w:r>
        <w:t xml:space="preserve">  • Control: 野生型 / 空载体对照</w:t>
      </w:r>
    </w:p>
    <w:p>
      <w:pPr>
        <w:pStyle w:val="ListBullet"/>
      </w:pPr>
      <w:r>
        <w:t xml:space="preserve">  • BRCA1 KD: siRNA/shRNA 敲低 BRCA1</w:t>
      </w:r>
    </w:p>
    <w:p>
      <w:pPr>
        <w:pStyle w:val="ListBullet"/>
      </w:pPr>
      <w:r>
        <w:t xml:space="preserve">  • BRCA1 OE: BRCA1 过表达</w:t>
      </w:r>
    </w:p>
    <w:p>
      <w:r>
        <w:t>Replicates: 5 | Blinding: single-blind</w:t>
      </w:r>
    </w:p>
    <w:p>
      <w:pPr>
        <w:pStyle w:val="Heading1"/>
      </w:pPr>
      <w:r>
        <w:t>3. Experimental Steps</w:t>
      </w:r>
    </w:p>
    <w:p>
      <w:pPr>
        <w:pStyle w:val="Heading2"/>
      </w:pPr>
      <w:r>
        <w:t>Step 1: Cell viability assay (CCK-8 / MTT)</w:t>
      </w:r>
    </w:p>
    <w:p>
      <w:r>
        <w:t>执行 Cell viability assay (CCK-8 / MTT) 以评估 BRCA1 功能</w:t>
      </w:r>
    </w:p>
    <w:p>
      <w:r>
        <w:rPr>
          <w:i/>
        </w:rPr>
        <w:t>Duration: 1-3 days</w:t>
      </w:r>
    </w:p>
    <w:p>
      <w:r>
        <w:rPr>
          <w:color w:val="E74C3C"/>
        </w:rPr>
        <w:t>⚠ 按照标准操作流程执行，注意 BRCA1 检测条件优化</w:t>
      </w:r>
    </w:p>
    <w:p>
      <w:pPr>
        <w:pStyle w:val="Heading2"/>
      </w:pPr>
      <w:r>
        <w:t>Step 2: Western blot for protein expression</w:t>
      </w:r>
    </w:p>
    <w:p>
      <w:r>
        <w:t>执行 Western blot for protein expression 以评估 BRCA1 功能</w:t>
      </w:r>
    </w:p>
    <w:p>
      <w:r>
        <w:rPr>
          <w:i/>
        </w:rPr>
        <w:t>Duration: 2 days</w:t>
      </w:r>
    </w:p>
    <w:p>
      <w:r>
        <w:rPr>
          <w:color w:val="E74C3C"/>
        </w:rPr>
        <w:t>⚠ 确保 BRCA1 一抗特异性良好，设置阳性对照</w:t>
      </w:r>
    </w:p>
    <w:p>
      <w:pPr>
        <w:pStyle w:val="Heading2"/>
      </w:pPr>
      <w:r>
        <w:t>Step 3: qRT-PCR for gene expression</w:t>
      </w:r>
    </w:p>
    <w:p>
      <w:r>
        <w:t>执行 qRT-PCR for gene expression 以评估 BRCA1 功能</w:t>
      </w:r>
    </w:p>
    <w:p>
      <w:r>
        <w:rPr>
          <w:i/>
        </w:rPr>
        <w:t>Duration: 1 day</w:t>
      </w:r>
    </w:p>
    <w:p>
      <w:r>
        <w:rPr>
          <w:color w:val="E74C3C"/>
        </w:rPr>
        <w:t>⚠ BRCA1 引物需跨内含子设计，进行熔解曲线分析</w:t>
      </w:r>
    </w:p>
    <w:p>
      <w:pPr>
        <w:pStyle w:val="Heading2"/>
      </w:pPr>
      <w:r>
        <w:t>Step 4: Immunofluorescence staining</w:t>
      </w:r>
    </w:p>
    <w:p>
      <w:r>
        <w:t>执行 Immunofluorescence staining 以评估 BRCA1 功能</w:t>
      </w:r>
    </w:p>
    <w:p>
      <w:r>
        <w:rPr>
          <w:i/>
        </w:rPr>
        <w:t>Duration: 2 days</w:t>
      </w:r>
    </w:p>
    <w:p>
      <w:r>
        <w:rPr>
          <w:color w:val="E74C3C"/>
        </w:rPr>
        <w:t>⚠ 按照标准操作流程执行，注意 BRCA1 检测条件优化</w:t>
      </w:r>
    </w:p>
    <w:p>
      <w:pPr>
        <w:pStyle w:val="Heading2"/>
      </w:pPr>
      <w:r>
        <w:t>Step 5: Flow cytometry (apoptosis / cell cycle)</w:t>
      </w:r>
    </w:p>
    <w:p>
      <w:r>
        <w:t>执行 Flow cytometry (apoptosis / cell cycle) 以评估 BRCA1 功能</w:t>
      </w:r>
    </w:p>
    <w:p>
      <w:r>
        <w:rPr>
          <w:i/>
        </w:rPr>
        <w:t>Duration: 1 day</w:t>
      </w:r>
    </w:p>
    <w:p>
      <w:r>
        <w:rPr>
          <w:color w:val="E74C3C"/>
        </w:rPr>
        <w:t>⚠ 设门策略基于 FMO 对照，补偿调节准确</w:t>
      </w:r>
    </w:p>
    <w:p>
      <w:pPr>
        <w:pStyle w:val="Heading2"/>
      </w:pPr>
      <w:r>
        <w:t>Step 6: ELISA for cytokine / biomarker detection</w:t>
      </w:r>
    </w:p>
    <w:p>
      <w:r>
        <w:t>执行 ELISA for cytokine / biomarker detection 以评估 BRCA1 功能</w:t>
      </w:r>
    </w:p>
    <w:p>
      <w:r>
        <w:rPr>
          <w:i/>
        </w:rPr>
        <w:t>Duration: 1 day</w:t>
      </w:r>
    </w:p>
    <w:p>
      <w:r>
        <w:rPr>
          <w:color w:val="E74C3C"/>
        </w:rPr>
        <w:t>⚠ 标准曲线 R² &gt; 0.99，每个样本设复孔</w:t>
      </w:r>
    </w:p>
    <w:p>
      <w:pPr>
        <w:pStyle w:val="Heading1"/>
      </w:pPr>
      <w:r>
        <w:t>4. Materials &amp; Reagents</w:t>
      </w:r>
    </w:p>
    <w:p>
      <w:pPr>
        <w:pStyle w:val="Heading2"/>
      </w:pPr>
      <w:r>
        <w:t>Cell Lines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BRCA1-expressing cell line</w:t>
            </w:r>
          </w:p>
        </w:tc>
        <w:tc>
          <w:tcPr>
            <w:tcW w:type="dxa" w:w="2160"/>
          </w:tcPr>
          <w:p>
            <w:r>
              <w:t>ATCC / DSMZ</w:t>
            </w:r>
          </w:p>
        </w:tc>
        <w:tc>
          <w:tcPr>
            <w:tcW w:type="dxa" w:w="2160"/>
          </w:tcPr>
          <w:p>
            <w:r>
              <w:t>N/A (custom)</w:t>
            </w:r>
          </w:p>
        </w:tc>
        <w:tc>
          <w:tcPr>
            <w:tcW w:type="dxa" w:w="2160"/>
          </w:tcPr>
          <w:p>
            <w:r>
              <w:t>1 vial</w:t>
            </w:r>
          </w:p>
        </w:tc>
      </w:tr>
      <w:tr>
        <w:tc>
          <w:tcPr>
            <w:tcW w:type="dxa" w:w="2160"/>
          </w:tcPr>
          <w:p>
            <w:r>
              <w:t>Control cell line (WT)</w:t>
            </w:r>
          </w:p>
        </w:tc>
        <w:tc>
          <w:tcPr>
            <w:tcW w:type="dxa" w:w="2160"/>
          </w:tcPr>
          <w:p>
            <w:r>
              <w:t>ATCC</w:t>
            </w:r>
          </w:p>
        </w:tc>
        <w:tc>
          <w:tcPr>
            <w:tcW w:type="dxa" w:w="2160"/>
          </w:tcPr>
          <w:p>
            <w:r>
              <w:t>CRL-XXXX</w:t>
            </w:r>
          </w:p>
        </w:tc>
        <w:tc>
          <w:tcPr>
            <w:tcW w:type="dxa" w:w="2160"/>
          </w:tcPr>
          <w:p>
            <w:r>
              <w:t>1 vial</w:t>
            </w:r>
          </w:p>
        </w:tc>
      </w:tr>
    </w:tbl>
    <w:p>
      <w:pPr>
        <w:pStyle w:val="Heading2"/>
      </w:pPr>
      <w:r>
        <w:t>Antibodies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Anti-BRCA1 antibody (WB)</w:t>
            </w:r>
          </w:p>
        </w:tc>
        <w:tc>
          <w:tcPr>
            <w:tcW w:type="dxa" w:w="2160"/>
          </w:tcPr>
          <w:p>
            <w:r>
              <w:t>Cell Signaling</w:t>
            </w:r>
          </w:p>
        </w:tc>
        <w:tc>
          <w:tcPr>
            <w:tcW w:type="dxa" w:w="2160"/>
          </w:tcPr>
          <w:p>
            <w:r>
              <w:t>CST-XXXX</w:t>
            </w:r>
          </w:p>
        </w:tc>
        <w:tc>
          <w:tcPr>
            <w:tcW w:type="dxa" w:w="2160"/>
          </w:tcPr>
          <w:p>
            <w:r>
              <w:t>50 µL</w:t>
            </w:r>
          </w:p>
        </w:tc>
      </w:tr>
      <w:tr>
        <w:tc>
          <w:tcPr>
            <w:tcW w:type="dxa" w:w="2160"/>
          </w:tcPr>
          <w:p>
            <w:r>
              <w:t>Anti-BRCA1 antibody (IHC)</w:t>
            </w:r>
          </w:p>
        </w:tc>
        <w:tc>
          <w:tcPr>
            <w:tcW w:type="dxa" w:w="2160"/>
          </w:tcPr>
          <w:p>
            <w:r>
              <w:t>Abcam</w:t>
            </w:r>
          </w:p>
        </w:tc>
        <w:tc>
          <w:tcPr>
            <w:tcW w:type="dxa" w:w="2160"/>
          </w:tcPr>
          <w:p>
            <w:r>
              <w:t>ab-XXXXX</w:t>
            </w:r>
          </w:p>
        </w:tc>
        <w:tc>
          <w:tcPr>
            <w:tcW w:type="dxa" w:w="2160"/>
          </w:tcPr>
          <w:p>
            <w:r>
              <w:t>100 µL</w:t>
            </w:r>
          </w:p>
        </w:tc>
      </w:tr>
      <w:tr>
        <w:tc>
          <w:tcPr>
            <w:tcW w:type="dxa" w:w="2160"/>
          </w:tcPr>
          <w:p>
            <w:r>
              <w:t>β-actin / GAPDH (loading control)</w:t>
            </w:r>
          </w:p>
        </w:tc>
        <w:tc>
          <w:tcPr>
            <w:tcW w:type="dxa" w:w="2160"/>
          </w:tcPr>
          <w:p>
            <w:r>
              <w:t>Proteintech</w:t>
            </w:r>
          </w:p>
        </w:tc>
        <w:tc>
          <w:tcPr>
            <w:tcW w:type="dxa" w:w="2160"/>
          </w:tcPr>
          <w:p>
            <w:r>
              <w:t>60004-1-Ig</w:t>
            </w:r>
          </w:p>
        </w:tc>
        <w:tc>
          <w:tcPr>
            <w:tcW w:type="dxa" w:w="2160"/>
          </w:tcPr>
          <w:p>
            <w:r>
              <w:t>50 µL</w:t>
            </w:r>
          </w:p>
        </w:tc>
      </w:tr>
    </w:tbl>
    <w:p>
      <w:pPr>
        <w:pStyle w:val="Heading2"/>
      </w:pPr>
      <w:r>
        <w:t>Reagents &amp; Kits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CCK-8 Cell Viability Kit</w:t>
            </w:r>
          </w:p>
        </w:tc>
        <w:tc>
          <w:tcPr>
            <w:tcW w:type="dxa" w:w="2160"/>
          </w:tcPr>
          <w:p>
            <w:r>
              <w:t>Dojindo</w:t>
            </w:r>
          </w:p>
        </w:tc>
        <w:tc>
          <w:tcPr>
            <w:tcW w:type="dxa" w:w="2160"/>
          </w:tcPr>
          <w:p>
            <w:r>
              <w:t>CK04</w:t>
            </w:r>
          </w:p>
        </w:tc>
        <w:tc>
          <w:tcPr>
            <w:tcW w:type="dxa" w:w="2160"/>
          </w:tcPr>
          <w:p>
            <w:r>
              <w:t>500 tests</w:t>
            </w:r>
          </w:p>
        </w:tc>
      </w:tr>
      <w:tr>
        <w:tc>
          <w:tcPr>
            <w:tcW w:type="dxa" w:w="2160"/>
          </w:tcPr>
          <w:p>
            <w:r>
              <w:t>RIPA Lysis Buffer</w:t>
            </w:r>
          </w:p>
        </w:tc>
        <w:tc>
          <w:tcPr>
            <w:tcW w:type="dxa" w:w="2160"/>
          </w:tcPr>
          <w:p>
            <w:r>
              <w:t>Beyotime</w:t>
            </w:r>
          </w:p>
        </w:tc>
        <w:tc>
          <w:tcPr>
            <w:tcW w:type="dxa" w:w="2160"/>
          </w:tcPr>
          <w:p>
            <w:r>
              <w:t>P0013B</w:t>
            </w:r>
          </w:p>
        </w:tc>
        <w:tc>
          <w:tcPr>
            <w:tcW w:type="dxa" w:w="2160"/>
          </w:tcPr>
          <w:p>
            <w:r>
              <w:t>100 mL</w:t>
            </w:r>
          </w:p>
        </w:tc>
      </w:tr>
      <w:tr>
        <w:tc>
          <w:tcPr>
            <w:tcW w:type="dxa" w:w="2160"/>
          </w:tcPr>
          <w:p>
            <w:r>
              <w:t>BCA Protein Assay Kit</w:t>
            </w:r>
          </w:p>
        </w:tc>
        <w:tc>
          <w:tcPr>
            <w:tcW w:type="dxa" w:w="2160"/>
          </w:tcPr>
          <w:p>
            <w:r>
              <w:t>Thermo</w:t>
            </w:r>
          </w:p>
        </w:tc>
        <w:tc>
          <w:tcPr>
            <w:tcW w:type="dxa" w:w="2160"/>
          </w:tcPr>
          <w:p>
            <w:r>
              <w:t>23225</w:t>
            </w:r>
          </w:p>
        </w:tc>
        <w:tc>
          <w:tcPr>
            <w:tcW w:type="dxa" w:w="2160"/>
          </w:tcPr>
          <w:p>
            <w:r>
              <w:t>1 kit</w:t>
            </w:r>
          </w:p>
        </w:tc>
      </w:tr>
      <w:tr>
        <w:tc>
          <w:tcPr>
            <w:tcW w:type="dxa" w:w="2160"/>
          </w:tcPr>
          <w:p>
            <w:r>
              <w:t>TRIzol Reagent</w:t>
            </w:r>
          </w:p>
        </w:tc>
        <w:tc>
          <w:tcPr>
            <w:tcW w:type="dxa" w:w="2160"/>
          </w:tcPr>
          <w:p>
            <w:r>
              <w:t>Invitrogen</w:t>
            </w:r>
          </w:p>
        </w:tc>
        <w:tc>
          <w:tcPr>
            <w:tcW w:type="dxa" w:w="2160"/>
          </w:tcPr>
          <w:p>
            <w:r>
              <w:t>15596026</w:t>
            </w:r>
          </w:p>
        </w:tc>
        <w:tc>
          <w:tcPr>
            <w:tcW w:type="dxa" w:w="2160"/>
          </w:tcPr>
          <w:p>
            <w:r>
              <w:t>100 mL</w:t>
            </w:r>
          </w:p>
        </w:tc>
      </w:tr>
    </w:tbl>
    <w:p>
      <w:pPr>
        <w:pStyle w:val="Heading2"/>
      </w:pPr>
      <w:r>
        <w:t>Consumables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Cell culture plates (6/96 well)</w:t>
            </w:r>
          </w:p>
        </w:tc>
        <w:tc>
          <w:tcPr>
            <w:tcW w:type="dxa" w:w="2160"/>
          </w:tcPr>
          <w:p>
            <w:r>
              <w:t>Corning</w:t>
            </w:r>
          </w:p>
        </w:tc>
        <w:tc>
          <w:tcPr>
            <w:tcW w:type="dxa" w:w="2160"/>
          </w:tcPr>
          <w:p>
            <w:r>
              <w:t>3516 / 3599</w:t>
            </w:r>
          </w:p>
        </w:tc>
        <w:tc>
          <w:tcPr>
            <w:tcW w:type="dxa" w:w="2160"/>
          </w:tcPr>
          <w:p>
            <w:r>
              <w:t>10 plates</w:t>
            </w:r>
          </w:p>
        </w:tc>
      </w:tr>
      <w:tr>
        <w:tc>
          <w:tcPr>
            <w:tcW w:type="dxa" w:w="2160"/>
          </w:tcPr>
          <w:p>
            <w:r>
              <w:t>PVDF Membrane</w:t>
            </w:r>
          </w:p>
        </w:tc>
        <w:tc>
          <w:tcPr>
            <w:tcW w:type="dxa" w:w="2160"/>
          </w:tcPr>
          <w:p>
            <w:r>
              <w:t>Millipore</w:t>
            </w:r>
          </w:p>
        </w:tc>
        <w:tc>
          <w:tcPr>
            <w:tcW w:type="dxa" w:w="2160"/>
          </w:tcPr>
          <w:p>
            <w:r>
              <w:t>IPVH00010</w:t>
            </w:r>
          </w:p>
        </w:tc>
        <w:tc>
          <w:tcPr>
            <w:tcW w:type="dxa" w:w="2160"/>
          </w:tcPr>
          <w:p>
            <w:r>
              <w:t>1 pack</w:t>
            </w:r>
          </w:p>
        </w:tc>
      </w:tr>
    </w:tbl>
    <w:p>
      <w:pPr>
        <w:pStyle w:val="Heading1"/>
      </w:pPr>
      <w:r>
        <w:t>5. Timeline</w:t>
      </w:r>
    </w:p>
    <w:p>
      <w:pPr>
        <w:pStyle w:val="Heading2"/>
      </w:pPr>
      <w:r>
        <w:t>Preparation</w:t>
      </w:r>
    </w:p>
    <w:p>
      <w:r>
        <w:t>2026-07-26 → 2026-07-28</w:t>
      </w:r>
    </w:p>
    <w:p>
      <w:pPr>
        <w:pStyle w:val="ListBullet"/>
      </w:pPr>
      <w:r>
        <w:t xml:space="preserve">  • 订购试剂和耗材</w:t>
      </w:r>
    </w:p>
    <w:p>
      <w:pPr>
        <w:pStyle w:val="ListBullet"/>
      </w:pPr>
      <w:r>
        <w:t xml:space="preserve">  • 细胞复苏与培养</w:t>
      </w:r>
    </w:p>
    <w:p>
      <w:pPr>
        <w:pStyle w:val="ListBullet"/>
      </w:pPr>
      <w:r>
        <w:t xml:space="preserve">  • 引物/质粒设计与合成</w:t>
      </w:r>
    </w:p>
    <w:p>
      <w:r>
        <w:rPr>
          <w:b/>
        </w:rPr>
        <w:t>Milestone: 所有试剂到位</w:t>
      </w:r>
    </w:p>
    <w:p>
      <w:pPr>
        <w:pStyle w:val="Heading2"/>
      </w:pPr>
      <w:r>
        <w:t>Experiment</w:t>
      </w:r>
    </w:p>
    <w:p>
      <w:r>
        <w:t>2026-07-29 → 2026-08-06</w:t>
      </w:r>
    </w:p>
    <w:p>
      <w:pPr>
        <w:pStyle w:val="ListBullet"/>
      </w:pPr>
      <w:r>
        <w:t xml:space="preserve">  • 转染/处理细胞</w:t>
      </w:r>
    </w:p>
    <w:p>
      <w:pPr>
        <w:pStyle w:val="ListBullet"/>
      </w:pPr>
      <w:r>
        <w:t xml:space="preserve">  • 样本收集与处理</w:t>
      </w:r>
    </w:p>
    <w:p>
      <w:pPr>
        <w:pStyle w:val="ListBullet"/>
      </w:pPr>
      <w:r>
        <w:t xml:space="preserve">  • 蛋白/RNA 提取</w:t>
      </w:r>
    </w:p>
    <w:p>
      <w:r>
        <w:rPr>
          <w:b/>
        </w:rPr>
        <w:t>Milestone: 实验处理完成</w:t>
      </w:r>
    </w:p>
    <w:p>
      <w:pPr>
        <w:pStyle w:val="Heading2"/>
      </w:pPr>
      <w:r>
        <w:t>Detection &amp; Analysis</w:t>
      </w:r>
    </w:p>
    <w:p>
      <w:r>
        <w:t>2026-08-07 → 2026-08-10</w:t>
      </w:r>
    </w:p>
    <w:p>
      <w:pPr>
        <w:pStyle w:val="ListBullet"/>
      </w:pPr>
      <w:r>
        <w:t xml:space="preserve">  • WB / qPCR / 流式检测</w:t>
      </w:r>
    </w:p>
    <w:p>
      <w:pPr>
        <w:pStyle w:val="ListBullet"/>
      </w:pPr>
      <w:r>
        <w:t xml:space="preserve">  • 数据采集与统计分析</w:t>
      </w:r>
    </w:p>
    <w:p>
      <w:pPr>
        <w:pStyle w:val="ListBullet"/>
      </w:pPr>
      <w:r>
        <w:t xml:space="preserve">  • 结果汇总</w:t>
      </w:r>
    </w:p>
    <w:p>
      <w:r>
        <w:rPr>
          <w:b/>
        </w:rPr>
        <w:t>Milestone: 原始数据收集完成</w:t>
      </w:r>
    </w:p>
    <w:p>
      <w:pPr>
        <w:pStyle w:val="Heading1"/>
      </w:pPr>
      <w:r>
        <w:t>6. Expected Results</w:t>
      </w:r>
    </w:p>
    <w:p>
      <w:pPr>
        <w:pStyle w:val="ListBullet"/>
      </w:pPr>
      <w:r>
        <w:t xml:space="preserve">  • BRCA1 在疾病样本中表达显著高于/低于正常对照</w:t>
      </w:r>
    </w:p>
    <w:p>
      <w:r>
        <w:t xml:space="preserve">    Expected: P &lt; 0.05, |log2FC| &gt; 1.5</w:t>
      </w:r>
    </w:p>
    <w:p>
      <w:pPr>
        <w:pStyle w:val="ListBullet"/>
      </w:pPr>
      <w:r>
        <w:t xml:space="preserve">  • 敲低 BRCA1 抑制细胞增殖并诱导凋亡</w:t>
      </w:r>
    </w:p>
    <w:p>
      <w:r>
        <w:t xml:space="preserve">    Expected: Cell viability ↓ &gt; 30%, Apoptosis ↑ &gt; 2-fold</w:t>
      </w:r>
    </w:p>
    <w:p>
      <w:pPr>
        <w:pStyle w:val="ListBullet"/>
      </w:pPr>
      <w:r>
        <w:t xml:space="preserve">  • BRCA1 通过 AKT/MAPK 通路发挥作用</w:t>
      </w:r>
    </w:p>
    <w:p>
      <w:r>
        <w:t xml:space="preserve">    Expected: 磷酸化 AKT/ERK 蛋白水平变化显著</w:t>
      </w:r>
    </w:p>
    <w:p>
      <w:pPr>
        <w:pStyle w:val="Heading1"/>
      </w:pPr>
      <w:r>
        <w:t>7. Alternative Approaches</w:t>
      </w:r>
    </w:p>
    <w:p>
      <w:r>
        <w:t xml:space="preserve">  • CRISPR-Cas9 敲除替代 siRNA 敲低 — 获得更彻底的基因功能丧失 (Cost: +$500, Time: +7 days)</w:t>
      </w:r>
    </w:p>
    <w:p>
      <w:r>
        <w:t xml:space="preserve">  • RNA-seq 替代 qPCR — 获得全局转录组变化 (Cost: +$800, Time: +10 days)</w:t>
      </w:r>
    </w:p>
    <w:p>
      <w:pPr>
        <w:pStyle w:val="Heading1"/>
      </w:pPr>
      <w:r>
        <w:t>8. References</w:t>
      </w:r>
    </w:p>
    <w:p>
      <w:r>
        <w:t xml:space="preserve">  • BRCA1 在 disease 中的功能研究 — PMID: XXXXXXXX (original research)</w:t>
      </w:r>
    </w:p>
    <w:p>
      <w:r>
        <w:t xml:space="preserve">  • BRCA1 作为治疗靶点的综述 — PMID: XXXXXXXX (review)</w:t>
      </w:r>
    </w:p>
    <w:p>
      <w:r>
        <w:t xml:space="preserve">  • 实验方法参考 (CCK-8 / WB / qPCR) — PMID: XXXXXXXX (protocol)</w:t>
      </w:r>
    </w:p>
    <w:p>
      <w:r>
        <w:t xml:space="preserve">  • disease 的分子机制研究 — PMID: XXXXXXXX (original research)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