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PROTO-20260726-234643</w:t>
        <w:br/>
        <w:t>Target: EGFR | Disease: lung cancer</w:t>
        <w:br/>
        <w:t>Type: in_vivo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in_vivo</w:t>
      </w:r>
    </w:p>
    <w:p>
      <w:r>
        <w:t>Model: lung cancer 异种移植小鼠模型</w:t>
      </w:r>
    </w:p>
    <w:p>
      <w:pPr>
        <w:pStyle w:val="ListBullet"/>
      </w:pPr>
      <w:r>
        <w:t xml:space="preserve">  • Vehicle: 溶剂对照</w:t>
      </w:r>
    </w:p>
    <w:p>
      <w:pPr>
        <w:pStyle w:val="ListBullet"/>
      </w:pPr>
      <w:r>
        <w:t xml:space="preserve">  • EGFR Inhibitor Low: 低剂量组</w:t>
      </w:r>
    </w:p>
    <w:p>
      <w:pPr>
        <w:pStyle w:val="ListBullet"/>
      </w:pPr>
      <w:r>
        <w:t xml:space="preserve">  • EGFR Inhibitor High: 高剂量组</w:t>
      </w:r>
    </w:p>
    <w:p>
      <w:pPr>
        <w:pStyle w:val="ListBullet"/>
      </w:pPr>
      <w:r>
        <w:t xml:space="preserve">  • Positive Control: 阳性药对照</w:t>
      </w:r>
    </w:p>
    <w:p>
      <w:r>
        <w:t>Replicates: 3 | Blinding: double-blind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Xenograft tumor model</w:t>
      </w:r>
    </w:p>
    <w:p>
      <w:r>
        <w:t>执行 Xenograft tumor model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Drug treatment (IP / oral gavage)</w:t>
      </w:r>
    </w:p>
    <w:p>
      <w:r>
        <w:t>执行 Drug treatment (IP / oral gavage)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3: Tumor volume measurement</w:t>
      </w:r>
    </w:p>
    <w:p>
      <w:r>
        <w:t>执行 Tumor volume measurement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4: Bioluminescence imaging</w:t>
      </w:r>
    </w:p>
    <w:p>
      <w:r>
        <w:t>执行 Bioluminescence imaging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Tissue collection and histopathology</w:t>
      </w:r>
    </w:p>
    <w:p>
      <w:r>
        <w:t>执行 Tissue collection and histopathology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6: IHC / IF on tissue sections</w:t>
      </w:r>
    </w:p>
    <w:p>
      <w:r>
        <w:t>执行 IHC / IF on tissue sections 以评估 EGFR 功能</w:t>
      </w:r>
    </w:p>
    <w:p>
      <w:r>
        <w:rPr>
          <w:i/>
        </w:rPr>
        <w:t>Duration: 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2026-07-30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2026-07-31 → 2026-08-25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2026-08-26 → 2026-09-03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2"/>
      </w:pPr>
      <w:r>
        <w:t>Validation</w:t>
      </w:r>
    </w:p>
    <w:p>
      <w:r>
        <w:t>2026-09-04 → 2026-09-08</w:t>
      </w:r>
    </w:p>
    <w:p>
      <w:pPr>
        <w:pStyle w:val="ListBullet"/>
      </w:pPr>
      <w:r>
        <w:t xml:space="preserve">  • 关键结果重复验证</w:t>
      </w:r>
    </w:p>
    <w:p>
      <w:pPr>
        <w:pStyle w:val="ListBullet"/>
      </w:pPr>
      <w:r>
        <w:t xml:space="preserve">  • 补充实验</w:t>
      </w:r>
    </w:p>
    <w:p>
      <w:pPr>
        <w:pStyle w:val="ListBullet"/>
      </w:pPr>
      <w:r>
        <w:t xml:space="preserve">  • 数据整理归档</w:t>
      </w:r>
    </w:p>
    <w:p>
      <w:r>
        <w:rPr>
          <w:b/>
        </w:rPr>
        <w:t>Milestone: 实验报告完成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PDX 模型替代 CDX — 更好的临床相关性 (Cost: +$3000, Time: +30 days)</w:t>
      </w:r>
    </w:p>
    <w:p>
      <w:r>
        <w:t xml:space="preserve">  • 口服给药替代 IP — 更好的患者依从性模拟 (Cost: +$200, Time: +0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