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8: Insurance</w:t>
      </w:r>
    </w:p>
    <w:p>
      <w:pPr>
        <w:pStyle w:val="Heading2"/>
      </w:pPr>
      <w:r>
        <w:t>Learning Objective 8.1 — Car, Home, &amp; Umbrella</w:t>
      </w:r>
    </w:p>
    <w:p>
      <w:r>
        <w:t>Review/adjust P&amp;C coverages approaching retirement; asset protection.</w:t>
      </w:r>
    </w:p>
    <w:p>
      <w:pPr>
        <w:pStyle w:val="Heading3"/>
      </w:pPr>
      <w:r>
        <w:t>Vehicle coverage</w:t>
      </w:r>
    </w:p>
    <w:p>
      <w:r>
        <w:t>Details: Vehicle coverage.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Home/Renters</w:t>
      </w:r>
    </w:p>
    <w:p>
      <w:r>
        <w:t>Details: Home/Renters.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Umbrella considerations</w:t>
      </w:r>
    </w:p>
    <w:p>
      <w:r>
        <w:t>Details: Umbrella considerations.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8.2 — Disability Insurance</w:t>
      </w:r>
    </w:p>
    <w:p>
      <w:r>
        <w:t>Short vs. long-term; group vs. personal; COLA; own-any occupation.</w:t>
      </w:r>
    </w:p>
    <w:p>
      <w:pPr>
        <w:pStyle w:val="Heading3"/>
      </w:pPr>
      <w:r>
        <w:t>Coverage scope</w:t>
      </w:r>
    </w:p>
    <w:p>
      <w:r>
        <w:t>Details: Coverage scope.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Elimination/benefit periods</w:t>
      </w:r>
    </w:p>
    <w:p>
      <w:r>
        <w:t>Details: Elimination/benefit periods.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Coordination with SSDI/SDI</w:t>
      </w:r>
    </w:p>
    <w:p>
      <w:r>
        <w:t>Details: Coordination with SSDI/SDI.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8.3 — Health/Medicare &amp; LTC (placeholder)</w:t>
      </w:r>
    </w:p>
    <w:p>
      <w:r>
        <w:t>Coordinate Medicare choices and custodial care risk.</w:t>
      </w:r>
    </w:p>
    <w:p>
      <w:pPr>
        <w:pStyle w:val="Heading3"/>
      </w:pPr>
      <w:r>
        <w:t>Medicare parts</w:t>
      </w:r>
    </w:p>
    <w:p>
      <w:r>
        <w:t>Details: Medicare parts.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LTC policy basics</w:t>
      </w:r>
    </w:p>
    <w:p>
      <w:r>
        <w:t>Details: LTC policy basics.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Self-insure thresholds</w:t>
      </w:r>
    </w:p>
    <w:p>
      <w:r>
        <w:t>Details: Self-insure thresholds.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