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9: Estate Planning</w:t>
      </w:r>
    </w:p>
    <w:p>
      <w:pPr>
        <w:pStyle w:val="Heading2"/>
      </w:pPr>
      <w:r>
        <w:t>Learning Objective 9.1 — Estate Planning Basics</w:t>
      </w:r>
    </w:p>
    <w:p>
      <w:r>
        <w:t>Plan early; document preferences; appoint agents; avoid common pitfalls.</w:t>
      </w:r>
    </w:p>
    <w:p>
      <w:pPr>
        <w:pStyle w:val="Heading3"/>
      </w:pPr>
      <w:r>
        <w:t>Goals</w:t>
      </w:r>
    </w:p>
    <w:p>
      <w:r>
        <w:t>Details: Goals.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Effective plan components</w:t>
      </w:r>
    </w:p>
    <w:p>
      <w:r>
        <w:t>Details: Effective plan components.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Avoiding missteps</w:t>
      </w:r>
    </w:p>
    <w:p>
      <w:r>
        <w:t>Details: Avoiding missteps.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9.2 — Appreciated Assets (Step-Up)</w:t>
      </w:r>
    </w:p>
    <w:p>
      <w:r>
        <w:t>Step-up in basis; which assets qualify; exceptions (IRAs, etc.).</w:t>
      </w:r>
    </w:p>
    <w:p>
      <w:pPr>
        <w:pStyle w:val="Heading3"/>
      </w:pPr>
      <w:r>
        <w:t>Qualifying assets</w:t>
      </w:r>
    </w:p>
    <w:p>
      <w:r>
        <w:t>Details: Qualifying assets.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Non-qualifying assets</w:t>
      </w:r>
    </w:p>
    <w:p>
      <w:r>
        <w:t>Details: Non-qualifying assets.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Tax timing</w:t>
      </w:r>
    </w:p>
    <w:p>
      <w:r>
        <w:t>Details: Tax timing.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9.3 — Incapacity Planning</w:t>
      </w:r>
    </w:p>
    <w:p>
      <w:r>
        <w:t>Durable POA, AHCD/Living Will, healthcare proxy; executor readiness.</w:t>
      </w:r>
    </w:p>
    <w:p>
      <w:pPr>
        <w:pStyle w:val="Heading3"/>
      </w:pPr>
      <w:r>
        <w:t>Scope of powers</w:t>
      </w:r>
    </w:p>
    <w:p>
      <w:r>
        <w:t>Details: Scope of powers.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Medical directives</w:t>
      </w:r>
    </w:p>
    <w:p>
      <w:r>
        <w:t>Details: Medical directives.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Anatomical gifts</w:t>
      </w:r>
    </w:p>
    <w:p>
      <w:r>
        <w:t>Details: Anatomical gifts.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