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36"/>
        </w:rPr>
      </w:pPr>
      <w:r>
        <w:rPr>
          <w:rFonts w:hint="eastAsia"/>
          <w:b/>
          <w:bCs/>
          <w:sz w:val="28"/>
          <w:szCs w:val="36"/>
        </w:rPr>
        <w:t>厂商违规行为扣分准则</w:t>
      </w:r>
    </w:p>
    <w:p>
      <w:pPr>
        <w:rPr>
          <w:rFonts w:ascii="黑体" w:hAnsi="黑体" w:eastAsia="黑体" w:cs="黑体"/>
          <w:sz w:val="18"/>
          <w:szCs w:val="21"/>
        </w:rPr>
      </w:pPr>
      <w:r>
        <w:rPr>
          <w:rFonts w:hint="eastAsia" w:ascii="黑体" w:hAnsi="黑体" w:eastAsia="黑体" w:cs="黑体"/>
          <w:b/>
          <w:bCs/>
          <w:sz w:val="18"/>
          <w:szCs w:val="21"/>
        </w:rPr>
        <w:t>第一条</w:t>
      </w:r>
      <w:r>
        <w:rPr>
          <w:rFonts w:hint="eastAsia"/>
          <w:sz w:val="18"/>
          <w:szCs w:val="21"/>
        </w:rPr>
        <w:t xml:space="preserve"> </w:t>
      </w:r>
      <w:r>
        <w:rPr>
          <w:rFonts w:hint="eastAsia"/>
          <w:b/>
          <w:sz w:val="18"/>
          <w:szCs w:val="21"/>
        </w:rPr>
        <w:t xml:space="preserve"> </w:t>
      </w:r>
      <w:r>
        <w:rPr>
          <w:rFonts w:hint="eastAsia" w:ascii="黑体" w:hAnsi="黑体" w:eastAsia="黑体" w:cs="黑体"/>
          <w:b/>
          <w:sz w:val="18"/>
          <w:szCs w:val="21"/>
        </w:rPr>
        <w:t>概述</w:t>
      </w:r>
    </w:p>
    <w:p>
      <w:pPr>
        <w:rPr>
          <w:rFonts w:ascii="黑体" w:hAnsi="黑体" w:eastAsia="黑体" w:cs="黑体"/>
          <w:sz w:val="18"/>
          <w:szCs w:val="21"/>
        </w:rPr>
      </w:pPr>
      <w:r>
        <w:rPr>
          <w:rFonts w:hint="eastAsia" w:ascii="黑体" w:hAnsi="黑体" w:eastAsia="黑体" w:cs="黑体"/>
          <w:sz w:val="18"/>
          <w:szCs w:val="21"/>
        </w:rPr>
        <w:t>为促进开放、透明、分享、责任的新商业文明，保障</w:t>
      </w:r>
      <w:r>
        <w:rPr>
          <w:rFonts w:hint="eastAsia" w:ascii="黑体" w:hAnsi="黑体" w:eastAsia="黑体" w:cs="黑体"/>
          <w:sz w:val="18"/>
          <w:szCs w:val="21"/>
          <w:lang w:eastAsia="zh-CN"/>
        </w:rPr>
        <w:t>熬龙</w:t>
      </w:r>
      <w:r>
        <w:rPr>
          <w:rFonts w:hint="eastAsia" w:ascii="黑体" w:hAnsi="黑体" w:eastAsia="黑体" w:cs="黑体"/>
          <w:sz w:val="18"/>
          <w:szCs w:val="21"/>
        </w:rPr>
        <w:t>网用户合法权益，维护</w:t>
      </w:r>
      <w:r>
        <w:rPr>
          <w:rFonts w:hint="eastAsia" w:ascii="黑体" w:hAnsi="黑体" w:eastAsia="黑体" w:cs="黑体"/>
          <w:sz w:val="18"/>
          <w:szCs w:val="21"/>
          <w:lang w:eastAsia="zh-CN"/>
        </w:rPr>
        <w:t>熬龙</w:t>
      </w:r>
      <w:r>
        <w:rPr>
          <w:rFonts w:hint="eastAsia" w:ascii="黑体" w:hAnsi="黑体" w:eastAsia="黑体" w:cs="黑体"/>
          <w:sz w:val="18"/>
          <w:szCs w:val="21"/>
        </w:rPr>
        <w:t>网正常经营秩序，实现厂商店铺规范化运营，特根据国家法律法规规范，以及《</w:t>
      </w:r>
      <w:r>
        <w:rPr>
          <w:rFonts w:hint="eastAsia" w:ascii="黑体" w:hAnsi="黑体" w:eastAsia="黑体" w:cs="黑体"/>
          <w:sz w:val="18"/>
          <w:szCs w:val="21"/>
          <w:lang w:eastAsia="zh-CN"/>
        </w:rPr>
        <w:t>熬龙</w:t>
      </w:r>
      <w:r>
        <w:rPr>
          <w:rFonts w:hint="eastAsia" w:ascii="黑体" w:hAnsi="黑体" w:eastAsia="黑体" w:cs="黑体"/>
          <w:sz w:val="18"/>
          <w:szCs w:val="21"/>
        </w:rPr>
        <w:t>厂商入驻服务协议》等相关协议和规则制定本规则。</w:t>
      </w:r>
    </w:p>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第二条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违规行为</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根据严重程度分为严重违规行为及一般违规行为，两者分别扣分、分别累计、分别执行</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（一）严重违规行为，是指严重破坏</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网经营秩序并涉嫌违反国家法律法规的行为。</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（二）一般违规行为，是指除严重违规行为外的违规行为。</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（三）违规行为根据适用的范围分为通用违规行为及其他有特殊说明的市场违规行为，特殊市场违规行为也遵循前款规定的严重违规行为与一般违规行为划分。</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第三条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lang w:eastAsia="zh-CN"/>
        </w:rPr>
        <w:t>熬龙</w:t>
      </w:r>
      <w:r>
        <w:rPr>
          <w:rFonts w:hint="eastAsia" w:ascii="黑体" w:hAnsi="黑体" w:eastAsia="黑体" w:cs="黑体"/>
          <w:b/>
          <w:color w:val="000000"/>
          <w:kern w:val="0"/>
          <w:sz w:val="18"/>
          <w:szCs w:val="18"/>
        </w:rPr>
        <w:t>网对厂商的严重违规行为采取以下违规处理方式</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厂商发生违规行为的，其违规行为应当纠正，并扣以一定分值。违规扣分在每年的十二月三十一日二十四时清零。</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（一）厂商严重违规扣分累计达12分的，向</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网支付违约金2万元</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（二）厂商严重违规扣分累计达24分的，向</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网支付违约3万元</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（三）厂商严重违规扣分累计达36分的，给予关闭店铺21天，并向</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网支付违约金4万元</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（四）厂商严重违规扣分累计达48分的，</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网有权对厂商做清退处理。厂商已缴纳的相关店铺的平台使用费用未到期部分不退，且</w:t>
      </w:r>
      <w:r>
        <w:rPr>
          <w:rFonts w:hint="eastAsia" w:ascii="黑体" w:hAnsi="黑体" w:eastAsia="黑体" w:cs="黑体"/>
          <w:b/>
          <w:color w:val="000000"/>
          <w:kern w:val="0"/>
          <w:sz w:val="18"/>
          <w:szCs w:val="18"/>
        </w:rPr>
        <w:t>向</w:t>
      </w:r>
      <w:r>
        <w:rPr>
          <w:rFonts w:hint="eastAsia" w:ascii="黑体" w:hAnsi="黑体" w:eastAsia="黑体" w:cs="黑体"/>
          <w:b/>
          <w:color w:val="000000"/>
          <w:kern w:val="0"/>
          <w:sz w:val="18"/>
          <w:szCs w:val="18"/>
          <w:lang w:eastAsia="zh-CN"/>
        </w:rPr>
        <w:t>熬龙</w:t>
      </w:r>
      <w:r>
        <w:rPr>
          <w:rFonts w:hint="eastAsia" w:ascii="黑体" w:hAnsi="黑体" w:eastAsia="黑体" w:cs="黑体"/>
          <w:b/>
          <w:color w:val="000000"/>
          <w:kern w:val="0"/>
          <w:sz w:val="18"/>
          <w:szCs w:val="18"/>
        </w:rPr>
        <w:t>网支付违约金10万元或全部金额（两者以较高的为准）的处理</w:t>
      </w:r>
      <w:r>
        <w:rPr>
          <w:rFonts w:hint="eastAsia" w:ascii="黑体" w:hAnsi="黑体" w:eastAsia="黑体" w:cs="黑体"/>
          <w:color w:val="000000"/>
          <w:kern w:val="0"/>
          <w:sz w:val="18"/>
          <w:szCs w:val="18"/>
        </w:rPr>
        <w:t>。</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 xml:space="preserve">第四条 </w:t>
      </w:r>
      <w:r>
        <w:rPr>
          <w:rFonts w:hint="eastAsia" w:ascii="黑体" w:hAnsi="黑体" w:eastAsia="黑体" w:cs="黑体"/>
          <w:b/>
          <w:color w:val="000000"/>
          <w:kern w:val="0"/>
          <w:sz w:val="18"/>
          <w:szCs w:val="18"/>
          <w:lang w:eastAsia="zh-CN"/>
        </w:rPr>
        <w:t>熬龙</w:t>
      </w:r>
      <w:r>
        <w:rPr>
          <w:rFonts w:hint="eastAsia" w:ascii="黑体" w:hAnsi="黑体" w:eastAsia="黑体" w:cs="黑体"/>
          <w:b/>
          <w:color w:val="000000"/>
          <w:kern w:val="0"/>
          <w:sz w:val="18"/>
          <w:szCs w:val="18"/>
        </w:rPr>
        <w:t>网站对厂商的一般违规行为采取以下违规处理方式：</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厂商因一般违规行为，</w:t>
      </w:r>
      <w:r>
        <w:rPr>
          <w:rFonts w:hint="eastAsia" w:ascii="黑体" w:hAnsi="黑体" w:eastAsia="黑体" w:cs="黑体"/>
          <w:b/>
          <w:color w:val="000000" w:themeColor="text1"/>
          <w:kern w:val="0"/>
          <w:sz w:val="18"/>
          <w:szCs w:val="18"/>
          <w14:textFill>
            <w14:solidFill>
              <w14:schemeClr w14:val="tx1"/>
            </w14:solidFill>
          </w14:textFill>
        </w:rPr>
        <w:t>每扣分累计达到12分向</w:t>
      </w:r>
      <w:r>
        <w:rPr>
          <w:rFonts w:hint="eastAsia" w:ascii="黑体" w:hAnsi="黑体" w:eastAsia="黑体" w:cs="黑体"/>
          <w:b/>
          <w:color w:val="000000" w:themeColor="text1"/>
          <w:kern w:val="0"/>
          <w:sz w:val="18"/>
          <w:szCs w:val="18"/>
          <w:lang w:eastAsia="zh-CN"/>
          <w14:textFill>
            <w14:solidFill>
              <w14:schemeClr w14:val="tx1"/>
            </w14:solidFill>
          </w14:textFill>
        </w:rPr>
        <w:t>熬龙</w:t>
      </w:r>
      <w:r>
        <w:rPr>
          <w:rFonts w:hint="eastAsia" w:ascii="黑体" w:hAnsi="黑体" w:eastAsia="黑体" w:cs="黑体"/>
          <w:b/>
          <w:color w:val="000000" w:themeColor="text1"/>
          <w:kern w:val="0"/>
          <w:sz w:val="18"/>
          <w:szCs w:val="18"/>
          <w14:textFill>
            <w14:solidFill>
              <w14:schemeClr w14:val="tx1"/>
            </w14:solidFill>
          </w14:textFill>
        </w:rPr>
        <w:t>网站支付违约金1万元的处理。</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第五条 违规申诉</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针对违规行为，厂商可在被违规处理之时起</w:t>
      </w:r>
      <w:r>
        <w:rPr>
          <w:rFonts w:hint="eastAsia" w:ascii="黑体" w:hAnsi="黑体" w:eastAsia="黑体" w:cs="黑体"/>
          <w:b/>
          <w:color w:val="000000"/>
          <w:kern w:val="0"/>
          <w:sz w:val="18"/>
          <w:szCs w:val="18"/>
        </w:rPr>
        <w:t>3个工作日</w:t>
      </w:r>
      <w:r>
        <w:rPr>
          <w:rFonts w:hint="eastAsia" w:ascii="黑体" w:hAnsi="黑体" w:eastAsia="黑体" w:cs="黑体"/>
          <w:color w:val="000000"/>
          <w:kern w:val="0"/>
          <w:sz w:val="18"/>
          <w:szCs w:val="18"/>
        </w:rPr>
        <w:t>内进行申诉，厂商提交申诉资料后将由</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网客服中心及厂商管理部核实处理，</w:t>
      </w:r>
      <w:r>
        <w:rPr>
          <w:rFonts w:hint="eastAsia" w:ascii="黑体" w:hAnsi="黑体" w:eastAsia="黑体" w:cs="黑体"/>
          <w:b/>
          <w:color w:val="000000"/>
          <w:kern w:val="0"/>
          <w:sz w:val="18"/>
          <w:szCs w:val="18"/>
        </w:rPr>
        <w:t>申诉处理时效为接收到厂商申诉资料后3个工作日</w:t>
      </w:r>
      <w:r>
        <w:rPr>
          <w:rFonts w:hint="eastAsia" w:ascii="黑体" w:hAnsi="黑体" w:eastAsia="黑体" w:cs="黑体"/>
          <w:color w:val="000000"/>
          <w:kern w:val="0"/>
          <w:sz w:val="18"/>
          <w:szCs w:val="18"/>
        </w:rPr>
        <w:t>。超时未申诉者将不再接受后续申诉。</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第六条 发布违禁信息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厂商发布以下商品销售的，每次扣48分，同时</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网视情节严重程度采取管控措施（包括但不限于店铺屏蔽、限制发布商品、公示警告、关闭店铺等）</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（一）枪支、弹药、军火或相关器材、配件及仿制品；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（二）易燃、易爆物品或制作易燃易爆品的相关化学物品；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含有反动、破坏国家统一、破坏主权及领土完整、破坏社会稳定涉及国家机密、扰乱社会秩序，宣扬邪教迷信，宣扬宗教、种族歧视等内容或相关法律法规禁止出版发行的书籍、音像制品、视频、文件资料；</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（四）人体器官、遗体；</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（五）用于窃取他人隐私或机密的软件及设备；</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（六）正在流通的人民币，伪造变造的货币以及印制设备；</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（七）麻醉注射枪及其相关商品；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（八）走私、盗窃、抢劫等非法所得；</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（九）可致使他人暂时失去反抗能力、意识模糊的口服或外用的化学品，以及含有黄色淫秽内容的商品、信息；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（十）《中华人民共和国文物保护法》相关规定的文物。</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（十一）管制类刀具及甩棍、弓、弩、飞镖等可能用于危害他人人身安全的管制器具；</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（十二）卫星信号的地面收发装置；</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（十三）伪造变造的政府机构颁发的文件、证书、公章或仅限国家机关或特定机构方可提供的服务；</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（十四）赌博用具及作弊工具；</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（十五）尚可使用的发票、其它可用于报销的票据以及此类票据的代开服务；</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（十六）精神类、麻醉类、有毒类、放射类药品；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（十七）粉末、液态女性催情类商品；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（十八）国家保护动物的活体、肢体、皮毛、标本、器官及制成品，已灭绝动物与现有国家二级以上保护动物的化石；</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（十九）身份证及身份证验证设备；</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（二十）可能用于侵害他人信息的黑客软件、教程、书籍；</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（二十一）尚可使用的证券、政府发放的消费劵及相应代购、推荐服务；</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（二十二）军警制服、标志及军警专用制品；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（二十三）带有宗教、种族歧视的相关商品或信息；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（二十四）有毒化学物、农药</w:t>
      </w:r>
      <w:bookmarkStart w:id="0" w:name="_GoBack"/>
      <w:bookmarkEnd w:id="0"/>
      <w:r>
        <w:rPr>
          <w:rFonts w:hint="eastAsia" w:ascii="黑体" w:hAnsi="黑体" w:eastAsia="黑体" w:cs="黑体"/>
          <w:color w:val="000000"/>
          <w:kern w:val="0"/>
          <w:sz w:val="18"/>
          <w:szCs w:val="18"/>
        </w:rPr>
        <w:t>及相关信息；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（二十五）烟草专卖品；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（二十六）含有情色暴力低俗内容的漫画、书籍、游戏、音像制品以及SM用具、成人网站的账号及邀请码、原味二手内衣物、陪聊陪逛服务等情色低俗商品或信息；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（二十七）用于预防、治疗人体疾病的药物、血液制品或医疗器械；</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（二十八）国家保护的植物及其制品；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（二十九）由不具备生产资质的生产商生产的或不符合国家、地方、行业、企业强制性标准的商品；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（三十）撬锁工具、开锁服务及其相关教程、书籍；</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（三十一）可能用于逃避交通管理的商品；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（三十二）发行时带有银行账户信息的银行卡；</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（三十三）特供酒、军需酒、自制酒；</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（三十四）用于全新销售的伪造变造的数码商品；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（三十五） 经权威质检部门或生产商认定、公布或召回的商品，国家明令淘汰或停止销售的商品，商品本身或外包装上所注明的产品标准、认证标志、成份及含量不符合国家规定的商品，过期、失效、变质的商品；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（三十六）制作毒品、易燃易爆品的方法、书籍；</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（三十七）利用电话线路上的直流馈电发光的灯；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（三十八）国家禁止的集邮票品以及未经邮政行业管理部门批准制作的集邮品，以及一九四九年之后发行的包含"中华民国"字样的邮品；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（三十九）算命、超度、风水、做法事等封建迷信类服务；</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（四十）一卡多号以及带破解功能的手机卡贴；</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（四十一）官方已停止经营的游戏点卡或平台卡商品；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（四十二）虚拟抽奖类商品。</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第七条</w:t>
      </w:r>
      <w:r>
        <w:rPr>
          <w:rFonts w:hint="eastAsia" w:ascii="黑体" w:hAnsi="黑体" w:eastAsia="黑体" w:cs="黑体"/>
          <w:color w:val="000000"/>
          <w:kern w:val="0"/>
          <w:sz w:val="18"/>
          <w:szCs w:val="18"/>
        </w:rPr>
        <w:t xml:space="preserve"> 厂商发布未经许可发布专营类目所属商品，或未在</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网许可范围内发布商品的，每次扣</w:t>
      </w:r>
      <w:r>
        <w:rPr>
          <w:rFonts w:ascii="黑体" w:hAnsi="黑体" w:eastAsia="黑体" w:cs="黑体"/>
          <w:color w:val="000000"/>
          <w:kern w:val="0"/>
          <w:sz w:val="18"/>
          <w:szCs w:val="18"/>
        </w:rPr>
        <w:t>24</w:t>
      </w:r>
      <w:r>
        <w:rPr>
          <w:rFonts w:hint="eastAsia" w:ascii="黑体" w:hAnsi="黑体" w:eastAsia="黑体" w:cs="黑体"/>
          <w:color w:val="000000"/>
          <w:kern w:val="0"/>
          <w:sz w:val="18"/>
          <w:szCs w:val="18"/>
        </w:rPr>
        <w:t>分，同时</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网视情节严重程度采取管控措施（包括但不限于限制发布商品、公示警告、关闭店铺等）</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（一）鱼翅、熊胆及其制品；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（二）不限时间与流量的、时间不可查询的以及被称为漏洞卡、集团卡、内部卡、测试卡的3G上网资费卡；</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（三）秒杀器以及用于提高秒杀成功概率的相关软件设备；</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（四）代写论文、代考试类相关服务；</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（五）法律咨询、心理咨询、金融咨询、医生在线咨询的服务；</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（六）个人手机定位、电话清单查询、银行账户查询；</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（七）代扣驾照分数服务；</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（八）尚可使用的外贸单证以及代理报关、清单、商检、单证手续的服务；</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（九）明示、暗示具有治疗、保健功效或者某种营养素功能的食品，或者以个体经验进行宣传的食品；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（十）邮局包裹、EMS专递、快递等物流单据凭证及单号；</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（十一）大量流通中的外币；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（十二）手机直拨卡与直拨业务，电话回拨卡与回拨业务；</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（十三）炒作博客人气、炒作网站人气、代投票类商品或信息；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（十四）捕鸟器及猫狗肉、猫狗皮、猫狗皮制品；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（十五）注射类美白针剂、溶脂针剂、填充针剂、瘦身针剂等用于人体注射的美容针剂类商品。</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第八条 页面信息描述与实际描述不符</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厂商应对其销售的商品如实描述，承诺其销售的产品和上传的产品信息符合中华人民共和国国内相关法律，法规，行政管理条例的规定，对其在</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网发布的信息内容负责，确保该等信息内容真实、准确、合法并且不侵犯任何第三方的合法权益。</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（一）认定定义</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页面</w:t>
      </w:r>
      <w:r>
        <w:rPr>
          <w:rFonts w:ascii="黑体" w:hAnsi="黑体" w:eastAsia="黑体" w:cs="黑体"/>
          <w:color w:val="000000"/>
          <w:kern w:val="0"/>
          <w:sz w:val="18"/>
          <w:szCs w:val="18"/>
        </w:rPr>
        <w:t>信息</w:t>
      </w:r>
      <w:r>
        <w:rPr>
          <w:rFonts w:hint="eastAsia" w:ascii="黑体" w:hAnsi="黑体" w:eastAsia="黑体" w:cs="黑体"/>
          <w:color w:val="000000"/>
          <w:kern w:val="0"/>
          <w:sz w:val="18"/>
          <w:szCs w:val="18"/>
        </w:rPr>
        <w:t>描述</w:t>
      </w:r>
      <w:r>
        <w:rPr>
          <w:rFonts w:ascii="黑体" w:hAnsi="黑体" w:eastAsia="黑体" w:cs="黑体"/>
          <w:color w:val="000000"/>
          <w:kern w:val="0"/>
          <w:sz w:val="18"/>
          <w:szCs w:val="18"/>
        </w:rPr>
        <w:t>与实际不符是指</w:t>
      </w:r>
      <w:r>
        <w:rPr>
          <w:rFonts w:hint="eastAsia" w:ascii="黑体" w:hAnsi="黑体" w:eastAsia="黑体" w:cs="黑体"/>
          <w:color w:val="000000"/>
          <w:kern w:val="0"/>
          <w:sz w:val="18"/>
          <w:szCs w:val="18"/>
        </w:rPr>
        <w:t>厂商</w:t>
      </w:r>
      <w:r>
        <w:rPr>
          <w:rFonts w:ascii="黑体" w:hAnsi="黑体" w:eastAsia="黑体" w:cs="黑体"/>
          <w:color w:val="000000"/>
          <w:kern w:val="0"/>
          <w:sz w:val="18"/>
          <w:szCs w:val="18"/>
        </w:rPr>
        <w:t>在商品或店铺等区域，发布的商品或店铺信息与实际不符。</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（二）认定形式包括并不仅限于：</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w:t>
      </w:r>
      <w:r>
        <w:rPr>
          <w:rFonts w:ascii="黑体" w:hAnsi="黑体" w:eastAsia="黑体" w:cs="黑体"/>
          <w:color w:val="000000"/>
          <w:kern w:val="0"/>
          <w:sz w:val="18"/>
          <w:szCs w:val="18"/>
        </w:rPr>
        <w:t>夸大、过度或虚假承诺商品效果及程度</w:t>
      </w:r>
      <w:r>
        <w:rPr>
          <w:rFonts w:hint="eastAsia" w:ascii="黑体" w:hAnsi="黑体" w:eastAsia="黑体" w:cs="黑体"/>
          <w:color w:val="000000"/>
          <w:kern w:val="0"/>
          <w:sz w:val="18"/>
          <w:szCs w:val="18"/>
        </w:rPr>
        <w:t>：</w:t>
      </w:r>
    </w:p>
    <w:p>
      <w:pPr>
        <w:widowControl/>
        <w:shd w:val="clear" w:color="auto" w:fill="FFFFFF"/>
        <w:jc w:val="left"/>
        <w:rPr>
          <w:rFonts w:ascii="黑体" w:hAnsi="黑体" w:eastAsia="黑体" w:cs="黑体"/>
          <w:color w:val="000000"/>
          <w:kern w:val="0"/>
          <w:sz w:val="18"/>
          <w:szCs w:val="18"/>
        </w:rPr>
      </w:pPr>
      <w:r>
        <w:rPr>
          <w:rFonts w:ascii="黑体" w:hAnsi="黑体" w:eastAsia="黑体" w:cs="黑体"/>
          <w:color w:val="000000"/>
          <w:kern w:val="0"/>
          <w:sz w:val="18"/>
          <w:szCs w:val="18"/>
        </w:rPr>
        <w:t>1.1 出现全网“最高、最低、最优、最热”等最高级的夸大描述</w:t>
      </w:r>
      <w:r>
        <w:rPr>
          <w:rFonts w:hint="eastAsia" w:ascii="黑体" w:hAnsi="黑体" w:eastAsia="黑体" w:cs="黑体"/>
          <w:color w:val="000000"/>
          <w:kern w:val="0"/>
          <w:sz w:val="18"/>
          <w:szCs w:val="18"/>
        </w:rPr>
        <w:t>；</w:t>
      </w:r>
    </w:p>
    <w:p>
      <w:pPr>
        <w:widowControl/>
        <w:shd w:val="clear" w:color="auto" w:fill="FFFFFF"/>
        <w:jc w:val="left"/>
        <w:rPr>
          <w:rFonts w:ascii="黑体" w:hAnsi="黑体" w:eastAsia="黑体" w:cs="黑体"/>
          <w:color w:val="000000"/>
          <w:kern w:val="0"/>
          <w:sz w:val="18"/>
          <w:szCs w:val="18"/>
        </w:rPr>
      </w:pPr>
      <w:r>
        <w:rPr>
          <w:rFonts w:ascii="黑体" w:hAnsi="黑体" w:eastAsia="黑体" w:cs="黑体"/>
          <w:color w:val="000000"/>
          <w:kern w:val="0"/>
          <w:sz w:val="18"/>
          <w:szCs w:val="18"/>
        </w:rPr>
        <w:t>1.2 对商品的实际使用效果进行不符的宣传</w:t>
      </w:r>
      <w:r>
        <w:rPr>
          <w:rFonts w:hint="eastAsia" w:ascii="黑体" w:hAnsi="黑体" w:eastAsia="黑体" w:cs="黑体"/>
          <w:color w:val="000000"/>
          <w:kern w:val="0"/>
          <w:sz w:val="18"/>
          <w:szCs w:val="18"/>
        </w:rPr>
        <w:t>：</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如商品实际没有功效但商品发布时描述了很多功效；或商品有功效但商品发布时夸大过度地描述了商品功效的内容和范围；</w:t>
      </w:r>
    </w:p>
    <w:p>
      <w:pPr>
        <w:widowControl/>
        <w:shd w:val="clear" w:color="auto" w:fill="FFFFFF"/>
        <w:jc w:val="left"/>
        <w:rPr>
          <w:rFonts w:ascii="黑体" w:hAnsi="黑体" w:eastAsia="黑体" w:cs="黑体"/>
          <w:color w:val="000000"/>
          <w:kern w:val="0"/>
          <w:sz w:val="18"/>
          <w:szCs w:val="18"/>
        </w:rPr>
      </w:pPr>
      <w:r>
        <w:rPr>
          <w:rFonts w:ascii="黑体" w:hAnsi="黑体" w:eastAsia="黑体" w:cs="黑体"/>
          <w:color w:val="000000"/>
          <w:kern w:val="0"/>
          <w:sz w:val="18"/>
          <w:szCs w:val="18"/>
        </w:rPr>
        <w:t>1.3 其他夸大宣传的描述</w:t>
      </w:r>
    </w:p>
    <w:p>
      <w:pPr>
        <w:widowControl/>
        <w:shd w:val="clear" w:color="auto" w:fill="FFFFFF"/>
        <w:jc w:val="left"/>
        <w:rPr>
          <w:rFonts w:ascii="黑体" w:hAnsi="黑体" w:eastAsia="黑体" w:cs="黑体"/>
          <w:color w:val="000000"/>
          <w:kern w:val="0"/>
          <w:sz w:val="18"/>
          <w:szCs w:val="18"/>
        </w:rPr>
      </w:pPr>
      <w:r>
        <w:rPr>
          <w:rFonts w:ascii="黑体" w:hAnsi="黑体" w:eastAsia="黑体" w:cs="黑体"/>
          <w:color w:val="000000"/>
          <w:kern w:val="0"/>
          <w:sz w:val="18"/>
          <w:szCs w:val="18"/>
        </w:rPr>
        <w:t>2</w:t>
      </w:r>
      <w:r>
        <w:rPr>
          <w:rFonts w:hint="eastAsia" w:ascii="黑体" w:hAnsi="黑体" w:eastAsia="黑体" w:cs="黑体"/>
          <w:color w:val="000000"/>
          <w:kern w:val="0"/>
          <w:sz w:val="18"/>
          <w:szCs w:val="18"/>
        </w:rPr>
        <w:t>．</w:t>
      </w:r>
      <w:r>
        <w:rPr>
          <w:rFonts w:ascii="黑体" w:hAnsi="黑体" w:eastAsia="黑体" w:cs="黑体"/>
          <w:color w:val="000000"/>
          <w:kern w:val="0"/>
          <w:sz w:val="18"/>
          <w:szCs w:val="18"/>
        </w:rPr>
        <w:t>商品、店铺的基础信息或官方资质信息等与实际不符</w:t>
      </w:r>
      <w:r>
        <w:rPr>
          <w:rFonts w:hint="eastAsia" w:ascii="黑体" w:hAnsi="黑体" w:eastAsia="黑体" w:cs="黑体"/>
          <w:color w:val="000000"/>
          <w:kern w:val="0"/>
          <w:sz w:val="18"/>
          <w:szCs w:val="18"/>
        </w:rPr>
        <w:t>：</w:t>
      </w:r>
    </w:p>
    <w:p>
      <w:pPr>
        <w:widowControl/>
        <w:shd w:val="clear" w:color="auto" w:fill="FFFFFF"/>
        <w:jc w:val="left"/>
        <w:rPr>
          <w:rFonts w:ascii="黑体" w:hAnsi="黑体" w:eastAsia="黑体" w:cs="黑体"/>
          <w:color w:val="000000"/>
          <w:kern w:val="0"/>
          <w:sz w:val="18"/>
          <w:szCs w:val="18"/>
        </w:rPr>
      </w:pPr>
      <w:r>
        <w:rPr>
          <w:rFonts w:ascii="黑体" w:hAnsi="黑体" w:eastAsia="黑体" w:cs="黑体"/>
          <w:color w:val="000000"/>
          <w:kern w:val="0"/>
          <w:sz w:val="18"/>
          <w:szCs w:val="18"/>
        </w:rPr>
        <w:t>2.1商品标题、图片、详情等区域出现的商品资质信息（如吊牌、水洗标、中文标签等）、店铺基础信息、官方资质信息等与实际不符</w:t>
      </w:r>
      <w:r>
        <w:rPr>
          <w:rFonts w:hint="eastAsia" w:ascii="黑体" w:hAnsi="黑体" w:eastAsia="黑体" w:cs="黑体"/>
          <w:color w:val="000000"/>
          <w:kern w:val="0"/>
          <w:sz w:val="18"/>
          <w:szCs w:val="18"/>
        </w:rPr>
        <w:t>；</w:t>
      </w:r>
    </w:p>
    <w:p>
      <w:pPr>
        <w:widowControl/>
        <w:shd w:val="clear" w:color="auto" w:fill="FFFFFF"/>
        <w:jc w:val="left"/>
        <w:rPr>
          <w:rFonts w:ascii="黑体" w:hAnsi="黑体" w:eastAsia="黑体" w:cs="黑体"/>
          <w:color w:val="000000"/>
          <w:kern w:val="0"/>
          <w:sz w:val="18"/>
          <w:szCs w:val="18"/>
        </w:rPr>
      </w:pPr>
      <w:r>
        <w:rPr>
          <w:rFonts w:ascii="黑体" w:hAnsi="黑体" w:eastAsia="黑体" w:cs="黑体"/>
          <w:color w:val="000000"/>
          <w:kern w:val="0"/>
          <w:sz w:val="18"/>
          <w:szCs w:val="18"/>
        </w:rPr>
        <w:t>2.2 通过店铺装修的方式遮挡、篡改相关店铺、商品的基础信息或官方资质信息使之与实际不符</w:t>
      </w:r>
      <w:r>
        <w:rPr>
          <w:rFonts w:hint="eastAsia" w:ascii="黑体" w:hAnsi="黑体" w:eastAsia="黑体" w:cs="黑体"/>
          <w:color w:val="000000"/>
          <w:kern w:val="0"/>
          <w:sz w:val="18"/>
          <w:szCs w:val="18"/>
        </w:rPr>
        <w:t>：</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如恶意装修店铺自定义区，对店铺的信誉等级、评价详情、宝贝成交、举报入口、官方资质等进行遮盖或者篡改。</w:t>
      </w:r>
    </w:p>
    <w:p>
      <w:pPr>
        <w:widowControl/>
        <w:shd w:val="clear" w:color="auto" w:fill="FFFFFF"/>
        <w:jc w:val="left"/>
        <w:rPr>
          <w:rFonts w:ascii="黑体" w:hAnsi="黑体" w:eastAsia="黑体" w:cs="黑体"/>
          <w:color w:val="000000"/>
          <w:kern w:val="0"/>
          <w:sz w:val="18"/>
          <w:szCs w:val="18"/>
        </w:rPr>
      </w:pPr>
      <w:r>
        <w:rPr>
          <w:rFonts w:ascii="黑体" w:hAnsi="黑体" w:eastAsia="黑体" w:cs="黑体"/>
          <w:color w:val="000000"/>
          <w:kern w:val="0"/>
          <w:sz w:val="18"/>
          <w:szCs w:val="18"/>
        </w:rPr>
        <w:t>2.3</w:t>
      </w:r>
      <w:r>
        <w:rPr>
          <w:rFonts w:hint="eastAsia" w:ascii="黑体" w:hAnsi="黑体" w:eastAsia="黑体" w:cs="黑体"/>
          <w:color w:val="000000"/>
          <w:kern w:val="0"/>
          <w:sz w:val="18"/>
          <w:szCs w:val="18"/>
        </w:rPr>
        <w:t xml:space="preserve"> 未对商品瑕疵、保质期、附带品等信息进行披露或对商品的描述与会员收到的商品不相符；</w:t>
      </w:r>
    </w:p>
    <w:p>
      <w:pPr>
        <w:widowControl/>
        <w:shd w:val="clear" w:color="auto" w:fill="FFFFFF"/>
        <w:jc w:val="left"/>
        <w:rPr>
          <w:rFonts w:ascii="黑体" w:hAnsi="黑体" w:eastAsia="黑体" w:cs="黑体"/>
          <w:color w:val="000000"/>
          <w:kern w:val="0"/>
          <w:sz w:val="18"/>
          <w:szCs w:val="18"/>
        </w:rPr>
      </w:pPr>
      <w:r>
        <w:rPr>
          <w:rFonts w:ascii="黑体" w:hAnsi="黑体" w:eastAsia="黑体" w:cs="黑体"/>
          <w:color w:val="000000"/>
          <w:kern w:val="0"/>
          <w:sz w:val="18"/>
          <w:szCs w:val="18"/>
        </w:rPr>
        <w:t xml:space="preserve">2.4 </w:t>
      </w:r>
      <w:r>
        <w:rPr>
          <w:rFonts w:hint="eastAsia" w:ascii="黑体" w:hAnsi="黑体" w:eastAsia="黑体" w:cs="黑体"/>
          <w:color w:val="000000"/>
          <w:kern w:val="0"/>
          <w:sz w:val="18"/>
          <w:szCs w:val="18"/>
        </w:rPr>
        <w:t>发布临期商品时，商品名称中未注明"临期商品"及"过期时间"，商品详情中未注明商品生产日期及保质期；</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（二）违规处理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若会员投诉厂商商品描述不符，</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网客服按以上判定属于描述不符的，</w:t>
      </w:r>
      <w:r>
        <w:rPr>
          <w:rFonts w:hint="eastAsia" w:ascii="黑体" w:hAnsi="黑体" w:eastAsia="黑体" w:cs="黑体"/>
          <w:b/>
          <w:color w:val="000000"/>
          <w:kern w:val="0"/>
          <w:sz w:val="18"/>
          <w:szCs w:val="18"/>
        </w:rPr>
        <w:t>将下架商品并按照订单商品实际成交金额的30%向会员支付违约金，金额最低20元最高不超过500元。</w:t>
      </w:r>
      <w:r>
        <w:rPr>
          <w:rFonts w:hint="eastAsia" w:ascii="黑体" w:hAnsi="黑体" w:eastAsia="黑体" w:cs="黑体"/>
          <w:color w:val="000000"/>
          <w:kern w:val="0"/>
          <w:sz w:val="18"/>
          <w:szCs w:val="18"/>
        </w:rPr>
        <w:t>违约金由</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网以先行赔付形式给会员，后续从厂商货款中扣回；</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第九条 滥发信息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是指厂商未按本规则及</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网发布的其他管理内容（包括但不限于规则、规范、类目管理标准、行业标准等）要求发布商品或信息，妨害会员权益的行为，包括以下情景：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（一）发布广告信息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w:t>
      </w:r>
      <w:r>
        <w:rPr>
          <w:rFonts w:ascii="黑体" w:hAnsi="黑体" w:eastAsia="黑体" w:cs="黑体"/>
          <w:color w:val="000000"/>
          <w:kern w:val="0"/>
          <w:sz w:val="18"/>
          <w:szCs w:val="18"/>
        </w:rPr>
        <w:t xml:space="preserve"> </w:t>
      </w:r>
      <w:r>
        <w:rPr>
          <w:rFonts w:hint="eastAsia" w:ascii="黑体" w:hAnsi="黑体" w:eastAsia="黑体" w:cs="黑体"/>
          <w:color w:val="000000"/>
          <w:kern w:val="0"/>
          <w:sz w:val="18"/>
          <w:szCs w:val="18"/>
        </w:rPr>
        <w:t>发布仅提供发布者联系方式、心情故事、店铺介绍等非实际交易信息；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w:t>
      </w:r>
      <w:r>
        <w:rPr>
          <w:rFonts w:ascii="黑体" w:hAnsi="黑体" w:eastAsia="黑体" w:cs="黑体"/>
          <w:color w:val="000000"/>
          <w:kern w:val="0"/>
          <w:sz w:val="18"/>
          <w:szCs w:val="18"/>
        </w:rPr>
        <w:t xml:space="preserve"> </w:t>
      </w:r>
      <w:r>
        <w:rPr>
          <w:rFonts w:hint="eastAsia" w:ascii="黑体" w:hAnsi="黑体" w:eastAsia="黑体" w:cs="黑体"/>
          <w:color w:val="000000"/>
          <w:kern w:val="0"/>
          <w:sz w:val="18"/>
          <w:szCs w:val="18"/>
        </w:rPr>
        <w:t>发布非</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网购物链接、实体店信息、银行账号及个人支付宝账户等信息，特殊情形除外；</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w:t>
      </w:r>
      <w:r>
        <w:rPr>
          <w:rFonts w:ascii="黑体" w:hAnsi="黑体" w:eastAsia="黑体" w:cs="黑体"/>
          <w:color w:val="000000"/>
          <w:kern w:val="0"/>
          <w:sz w:val="18"/>
          <w:szCs w:val="18"/>
        </w:rPr>
        <w:t xml:space="preserve"> </w:t>
      </w:r>
      <w:r>
        <w:rPr>
          <w:rFonts w:hint="eastAsia" w:ascii="黑体" w:hAnsi="黑体" w:eastAsia="黑体" w:cs="黑体"/>
          <w:color w:val="000000"/>
          <w:kern w:val="0"/>
          <w:sz w:val="18"/>
          <w:szCs w:val="18"/>
        </w:rPr>
        <w:t>以批发、代理、广告、海报、招商等形式发布的商品；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4．商品标题中有指向实体店铺名：如骆驼**路店专卖；</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5．在商品标题、商品详情、店铺等中出现其他网站的任何相关信息，包括但不限于：亚马逊、天猫商城、淘宝网、一号店、</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商城等。</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（二）发布重复信息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完全相同以及商品的重要属性完全相同的商品，发布多次；</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（三）发布错误描述信息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w:t>
      </w:r>
      <w:r>
        <w:rPr>
          <w:rFonts w:ascii="黑体" w:hAnsi="黑体" w:eastAsia="黑体" w:cs="黑体"/>
          <w:color w:val="000000"/>
          <w:kern w:val="0"/>
          <w:sz w:val="18"/>
          <w:szCs w:val="18"/>
        </w:rPr>
        <w:t xml:space="preserve"> </w:t>
      </w:r>
      <w:r>
        <w:rPr>
          <w:rFonts w:hint="eastAsia" w:ascii="黑体" w:hAnsi="黑体" w:eastAsia="黑体" w:cs="黑体"/>
          <w:color w:val="000000"/>
          <w:kern w:val="0"/>
          <w:sz w:val="18"/>
          <w:szCs w:val="18"/>
        </w:rPr>
        <w:t>商品信息中缺少标题、主图，或特殊类目商品缺少所售商品本身的实物图片；</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w:t>
      </w:r>
      <w:r>
        <w:rPr>
          <w:rFonts w:ascii="黑体" w:hAnsi="黑体" w:eastAsia="黑体" w:cs="黑体"/>
          <w:color w:val="000000"/>
          <w:kern w:val="0"/>
          <w:sz w:val="18"/>
          <w:szCs w:val="18"/>
        </w:rPr>
        <w:t xml:space="preserve"> </w:t>
      </w:r>
      <w:r>
        <w:rPr>
          <w:rFonts w:hint="eastAsia" w:ascii="黑体" w:hAnsi="黑体" w:eastAsia="黑体" w:cs="黑体"/>
          <w:color w:val="000000"/>
          <w:kern w:val="0"/>
          <w:sz w:val="18"/>
          <w:szCs w:val="18"/>
        </w:rPr>
        <w:t>商品标题、图片、价格、物流方式、邮费及售后服务等商品要素之间明显不匹配；</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w:t>
      </w:r>
      <w:r>
        <w:rPr>
          <w:rFonts w:ascii="黑体" w:hAnsi="黑体" w:eastAsia="黑体" w:cs="黑体"/>
          <w:color w:val="000000"/>
          <w:kern w:val="0"/>
          <w:sz w:val="18"/>
          <w:szCs w:val="18"/>
        </w:rPr>
        <w:t xml:space="preserve"> </w:t>
      </w:r>
      <w:r>
        <w:rPr>
          <w:rFonts w:hint="eastAsia" w:ascii="黑体" w:hAnsi="黑体" w:eastAsia="黑体" w:cs="黑体"/>
          <w:color w:val="000000"/>
          <w:kern w:val="0"/>
          <w:sz w:val="18"/>
          <w:szCs w:val="18"/>
        </w:rPr>
        <w:t>商品标题等信息不实或者与本商品无关的；</w:t>
      </w:r>
    </w:p>
    <w:p>
      <w:pPr>
        <w:widowControl/>
        <w:shd w:val="clear" w:color="auto" w:fill="FFFFFF"/>
        <w:jc w:val="left"/>
        <w:rPr>
          <w:rFonts w:ascii="黑体" w:hAnsi="黑体" w:eastAsia="黑体" w:cs="黑体"/>
          <w:color w:val="000000"/>
          <w:kern w:val="0"/>
          <w:sz w:val="18"/>
          <w:szCs w:val="18"/>
        </w:rPr>
      </w:pPr>
      <w:r>
        <w:rPr>
          <w:rFonts w:ascii="黑体" w:hAnsi="黑体" w:eastAsia="黑体" w:cs="黑体"/>
          <w:color w:val="000000"/>
          <w:kern w:val="0"/>
          <w:sz w:val="18"/>
          <w:szCs w:val="18"/>
        </w:rPr>
        <w:t>4</w:t>
      </w:r>
      <w:r>
        <w:rPr>
          <w:rFonts w:hint="eastAsia" w:ascii="黑体" w:hAnsi="黑体" w:eastAsia="黑体" w:cs="黑体"/>
          <w:color w:val="000000"/>
          <w:kern w:val="0"/>
          <w:sz w:val="18"/>
          <w:szCs w:val="18"/>
        </w:rPr>
        <w:t>.</w:t>
      </w:r>
      <w:r>
        <w:rPr>
          <w:rFonts w:ascii="黑体" w:hAnsi="黑体" w:eastAsia="黑体" w:cs="黑体"/>
          <w:color w:val="000000"/>
          <w:kern w:val="0"/>
          <w:sz w:val="18"/>
          <w:szCs w:val="18"/>
        </w:rPr>
        <w:t xml:space="preserve"> </w:t>
      </w:r>
      <w:r>
        <w:rPr>
          <w:rFonts w:hint="eastAsia" w:ascii="黑体" w:hAnsi="黑体" w:eastAsia="黑体" w:cs="黑体"/>
          <w:color w:val="000000"/>
          <w:kern w:val="0"/>
          <w:sz w:val="18"/>
          <w:szCs w:val="18"/>
        </w:rPr>
        <w:t>商品与所发布的分类或属性不符的；</w:t>
      </w:r>
    </w:p>
    <w:p>
      <w:pPr>
        <w:widowControl/>
        <w:shd w:val="clear" w:color="auto" w:fill="FFFFFF"/>
        <w:jc w:val="left"/>
        <w:rPr>
          <w:rFonts w:ascii="黑体" w:hAnsi="黑体" w:eastAsia="黑体" w:cs="黑体"/>
          <w:color w:val="000000"/>
          <w:kern w:val="0"/>
          <w:sz w:val="18"/>
          <w:szCs w:val="18"/>
        </w:rPr>
      </w:pPr>
      <w:r>
        <w:rPr>
          <w:rFonts w:ascii="黑体" w:hAnsi="黑体" w:eastAsia="黑体" w:cs="黑体"/>
          <w:color w:val="000000"/>
          <w:kern w:val="0"/>
          <w:sz w:val="18"/>
          <w:szCs w:val="18"/>
        </w:rPr>
        <w:t xml:space="preserve">5. </w:t>
      </w:r>
      <w:r>
        <w:rPr>
          <w:rFonts w:hint="eastAsia" w:ascii="黑体" w:hAnsi="黑体" w:eastAsia="黑体" w:cs="黑体"/>
          <w:color w:val="000000"/>
          <w:kern w:val="0"/>
          <w:sz w:val="18"/>
          <w:szCs w:val="18"/>
        </w:rPr>
        <w:t>店铺信息中缺少厂商客服联系方式或厂商联系方式不正确的；</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（四）极限用语规范</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w:t>
      </w:r>
      <w:r>
        <w:rPr>
          <w:rFonts w:ascii="黑体" w:hAnsi="黑体" w:eastAsia="黑体" w:cs="黑体"/>
          <w:color w:val="000000"/>
          <w:kern w:val="0"/>
          <w:sz w:val="18"/>
          <w:szCs w:val="18"/>
        </w:rPr>
        <w:t xml:space="preserve"> </w:t>
      </w:r>
      <w:r>
        <w:rPr>
          <w:rFonts w:hint="eastAsia" w:ascii="黑体" w:hAnsi="黑体" w:eastAsia="黑体" w:cs="黑体"/>
          <w:color w:val="000000"/>
          <w:kern w:val="0"/>
          <w:sz w:val="18"/>
          <w:szCs w:val="18"/>
        </w:rPr>
        <w:t>商品正标题、副标题、商品介绍中不得出现国家级、最高级、最佳 绝对化用语；</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w:t>
      </w:r>
      <w:r>
        <w:rPr>
          <w:rFonts w:ascii="黑体" w:hAnsi="黑体" w:eastAsia="黑体" w:cs="黑体"/>
          <w:color w:val="000000"/>
          <w:kern w:val="0"/>
          <w:sz w:val="18"/>
          <w:szCs w:val="18"/>
        </w:rPr>
        <w:t xml:space="preserve"> </w:t>
      </w:r>
      <w:r>
        <w:rPr>
          <w:rFonts w:hint="eastAsia" w:ascii="黑体" w:hAnsi="黑体" w:eastAsia="黑体" w:cs="黑体"/>
          <w:color w:val="000000"/>
          <w:kern w:val="0"/>
          <w:sz w:val="18"/>
          <w:szCs w:val="18"/>
        </w:rPr>
        <w:t>商品正标题、副标题、商品介绍中如出现绝对化用语、排序词包括但不限于以下，且无法证明的</w:t>
      </w:r>
      <w:r>
        <w:rPr>
          <w:rFonts w:hint="eastAsia" w:ascii="黑体" w:hAnsi="黑体" w:eastAsia="黑体" w:cs="黑体"/>
          <w:b/>
          <w:color w:val="000000" w:themeColor="text1"/>
          <w:kern w:val="0"/>
          <w:sz w:val="18"/>
          <w:szCs w:val="18"/>
          <w14:textFill>
            <w14:solidFill>
              <w14:schemeClr w14:val="tx1"/>
            </w14:solidFill>
          </w14:textFill>
        </w:rPr>
        <w:t>按照虚假宣传处以退一赔三，最低500元赔付会员</w:t>
      </w:r>
      <w:r>
        <w:rPr>
          <w:rFonts w:hint="eastAsia" w:ascii="黑体" w:hAnsi="黑体" w:eastAsia="黑体" w:cs="黑体"/>
          <w:color w:val="000000"/>
          <w:kern w:val="0"/>
          <w:sz w:val="18"/>
          <w:szCs w:val="18"/>
        </w:rPr>
        <w:t>：</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国家级、世界级、宇宙级、全球级、世界领先、全国首家、最、最高级、最佳、最新、最低、最高、最大、最具、最优、史上最、最先进、全球最新、全网最低价、最新发明、最新科学、最新技术、全球最新专利、最先进加工工艺、顶级、顶尖、顶端、顶峰、极品、极端、巅峰、绝对、首选、第一、唯一、全国销量第一、市场占有率第一、市场主导品牌、首选品牌、中国公认名（品）牌、绝无仅有、万能、销量冠军、抄底、空前绝后。</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（五）违规处理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1．违背以上第（一）项，每次扣3分并删除该信息；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2．违背以上第（二）项，每次扣1分并删除重复发布商品；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3．违背以上第（三）项，厂商需在24小时内修复，每次扣1分；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4．出现第（四）项第1点极限用词，如被举报，由厂商自行承担法律责任以及行政处罚。参照（2015年9月1日执行的新《中华人民共和国广告法》）</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第十条 经营范围规定</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（一）定义和认定</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如百货服装品类厂商，不得跨品售卖出版物商品；出版物厂商不得售卖百货服装类商品。</w:t>
      </w:r>
    </w:p>
    <w:p>
      <w:pPr>
        <w:widowControl/>
        <w:numPr>
          <w:ilvl w:val="0"/>
          <w:numId w:val="1"/>
        </w:numPr>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违规处理：每次扣12分。</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第十一条 虚假交易</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（一）定义和认定</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1．厂商对所发布的商品注册多个账号进行虚假交易，抬高商品有效订单或者交易量的行为；</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2．厂商通过虚假价格或虚假交易，抬高商品分类排名的行为；</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3．厂商通过偷换商品信息，达到继承销售记录和商品评论的行为；</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4．厂商通过不正当方式提高在</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网的商品销量或提高店铺评分（即"炒作"行为），妨害会员购物权益的行为。这种 "炒作"的行为主要表现包括但不限于以下几种形式：自买自评、恶意更改价格、更换商品、第三方炒作、空盒等。虚假交易中通过不正当方式提高商品销量或提高店铺评分的，</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网有权删除该商品或删除相关的店铺评分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5．订单交易未成功，厂商为会员办理线下退款，需为会员办理全额退款，不得从退款中扣除扣点费用。</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6．厂商通过非常规手段套取</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网补贴费用，或偷逃抽成。</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（二）违规处理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w:t>
      </w:r>
      <w:r>
        <w:rPr>
          <w:rFonts w:ascii="黑体" w:hAnsi="黑体" w:eastAsia="黑体" w:cs="黑体"/>
          <w:color w:val="000000"/>
          <w:kern w:val="0"/>
          <w:sz w:val="18"/>
          <w:szCs w:val="18"/>
        </w:rPr>
        <w:t xml:space="preserve"> </w:t>
      </w:r>
      <w:r>
        <w:rPr>
          <w:rFonts w:hint="eastAsia" w:ascii="黑体" w:hAnsi="黑体" w:eastAsia="黑体" w:cs="黑体"/>
          <w:color w:val="000000"/>
          <w:kern w:val="0"/>
          <w:sz w:val="18"/>
          <w:szCs w:val="18"/>
        </w:rPr>
        <w:t>厂商违背以上1-6承诺的，每次扣6分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w:t>
      </w:r>
      <w:r>
        <w:rPr>
          <w:rFonts w:ascii="黑体" w:hAnsi="黑体" w:eastAsia="黑体" w:cs="黑体"/>
          <w:color w:val="000000"/>
          <w:kern w:val="0"/>
          <w:sz w:val="18"/>
          <w:szCs w:val="18"/>
        </w:rPr>
        <w:t xml:space="preserve"> </w:t>
      </w:r>
      <w:r>
        <w:rPr>
          <w:rFonts w:hint="eastAsia" w:ascii="黑体" w:hAnsi="黑体" w:eastAsia="黑体" w:cs="黑体"/>
          <w:color w:val="000000"/>
          <w:kern w:val="0"/>
          <w:sz w:val="18"/>
          <w:szCs w:val="18"/>
        </w:rPr>
        <w:t>以上1-4承诺及任何未经品类确认的分销行为，可定义为刷单虚假交易，适用以下处罚规则：</w:t>
      </w:r>
    </w:p>
    <w:tbl>
      <w:tblPr>
        <w:tblStyle w:val="11"/>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4680"/>
        <w:gridCol w:w="1185"/>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88"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违规程度</w:t>
            </w:r>
          </w:p>
        </w:tc>
        <w:tc>
          <w:tcPr>
            <w:tcW w:w="4680"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违规判定（每月）</w:t>
            </w:r>
          </w:p>
        </w:tc>
        <w:tc>
          <w:tcPr>
            <w:tcW w:w="1185"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违约金</w:t>
            </w:r>
          </w:p>
        </w:tc>
        <w:tc>
          <w:tcPr>
            <w:tcW w:w="1210"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限制经营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88"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轻微</w:t>
            </w:r>
          </w:p>
        </w:tc>
        <w:tc>
          <w:tcPr>
            <w:tcW w:w="4680"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20单（含）以内且金额二万（含）以下</w:t>
            </w:r>
          </w:p>
        </w:tc>
        <w:tc>
          <w:tcPr>
            <w:tcW w:w="1185"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10000</w:t>
            </w:r>
          </w:p>
        </w:tc>
        <w:tc>
          <w:tcPr>
            <w:tcW w:w="1210"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关店一周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88"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一般</w:t>
            </w:r>
          </w:p>
        </w:tc>
        <w:tc>
          <w:tcPr>
            <w:tcW w:w="4680"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20单以上至50单（含）内且金额五万（含）以下</w:t>
            </w:r>
          </w:p>
        </w:tc>
        <w:tc>
          <w:tcPr>
            <w:tcW w:w="1185"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30000</w:t>
            </w:r>
          </w:p>
        </w:tc>
        <w:tc>
          <w:tcPr>
            <w:tcW w:w="1210"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关店两周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288"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严重</w:t>
            </w:r>
          </w:p>
        </w:tc>
        <w:tc>
          <w:tcPr>
            <w:tcW w:w="4680"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50单以上或金额在五万以上</w:t>
            </w:r>
          </w:p>
        </w:tc>
        <w:tc>
          <w:tcPr>
            <w:tcW w:w="1185"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50000</w:t>
            </w:r>
          </w:p>
        </w:tc>
        <w:tc>
          <w:tcPr>
            <w:tcW w:w="1210" w:type="dxa"/>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关店一个月</w:t>
            </w:r>
          </w:p>
        </w:tc>
      </w:tr>
    </w:tbl>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二次违规，无论金额，向</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网支付违约金五万元，并关店一个月</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三次违规，清退处理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w:t>
      </w:r>
      <w:r>
        <w:rPr>
          <w:rFonts w:ascii="黑体" w:hAnsi="黑体" w:eastAsia="黑体" w:cs="黑体"/>
          <w:color w:val="000000"/>
          <w:kern w:val="0"/>
          <w:sz w:val="18"/>
          <w:szCs w:val="18"/>
        </w:rPr>
        <w:t xml:space="preserve"> </w:t>
      </w:r>
      <w:r>
        <w:rPr>
          <w:rFonts w:hint="eastAsia" w:ascii="黑体" w:hAnsi="黑体" w:eastAsia="黑体" w:cs="黑体"/>
          <w:color w:val="000000"/>
          <w:kern w:val="0"/>
          <w:sz w:val="18"/>
          <w:szCs w:val="18"/>
        </w:rPr>
        <w:t>厂商违背以上5-6承诺的，适用以下罚则：</w:t>
      </w:r>
    </w:p>
    <w:tbl>
      <w:tblPr>
        <w:tblStyle w:val="10"/>
        <w:tblW w:w="8385" w:type="dxa"/>
        <w:tblCellSpacing w:w="0" w:type="dxa"/>
        <w:tblInd w:w="121" w:type="dxa"/>
        <w:tblLayout w:type="fixed"/>
        <w:tblCellMar>
          <w:top w:w="0" w:type="dxa"/>
          <w:left w:w="0" w:type="dxa"/>
          <w:bottom w:w="0" w:type="dxa"/>
          <w:right w:w="0" w:type="dxa"/>
        </w:tblCellMar>
      </w:tblPr>
      <w:tblGrid>
        <w:gridCol w:w="1110"/>
        <w:gridCol w:w="4440"/>
        <w:gridCol w:w="1560"/>
        <w:gridCol w:w="1275"/>
      </w:tblGrid>
      <w:tr>
        <w:tblPrEx>
          <w:tblLayout w:type="fixed"/>
          <w:tblCellMar>
            <w:top w:w="0" w:type="dxa"/>
            <w:left w:w="0" w:type="dxa"/>
            <w:bottom w:w="0" w:type="dxa"/>
            <w:right w:w="0" w:type="dxa"/>
          </w:tblCellMar>
        </w:tblPrEx>
        <w:trPr>
          <w:trHeight w:val="330" w:hRule="atLeast"/>
          <w:tblCellSpacing w:w="0" w:type="dxa"/>
        </w:trPr>
        <w:tc>
          <w:tcPr>
            <w:tcW w:w="1110" w:type="dxa"/>
            <w:tcBorders>
              <w:top w:val="single" w:color="000000" w:sz="6" w:space="0"/>
              <w:left w:val="single" w:color="000000" w:sz="6" w:space="0"/>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违规程度</w:t>
            </w:r>
          </w:p>
        </w:tc>
        <w:tc>
          <w:tcPr>
            <w:tcW w:w="4440" w:type="dxa"/>
            <w:tcBorders>
              <w:top w:val="single" w:color="000000" w:sz="6" w:space="0"/>
              <w:left w:val="nil"/>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违规判定（每月）</w:t>
            </w:r>
          </w:p>
        </w:tc>
        <w:tc>
          <w:tcPr>
            <w:tcW w:w="1560" w:type="dxa"/>
            <w:tcBorders>
              <w:top w:val="single" w:color="000000" w:sz="6" w:space="0"/>
              <w:left w:val="nil"/>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违约金</w:t>
            </w:r>
          </w:p>
        </w:tc>
        <w:tc>
          <w:tcPr>
            <w:tcW w:w="1275" w:type="dxa"/>
            <w:tcBorders>
              <w:top w:val="single" w:color="000000" w:sz="6" w:space="0"/>
              <w:left w:val="nil"/>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限制经营</w:t>
            </w:r>
          </w:p>
        </w:tc>
      </w:tr>
      <w:tr>
        <w:tblPrEx>
          <w:tblLayout w:type="fixed"/>
          <w:tblCellMar>
            <w:top w:w="0" w:type="dxa"/>
            <w:left w:w="0" w:type="dxa"/>
            <w:bottom w:w="0" w:type="dxa"/>
            <w:right w:w="0" w:type="dxa"/>
          </w:tblCellMar>
        </w:tblPrEx>
        <w:trPr>
          <w:trHeight w:val="330" w:hRule="atLeast"/>
          <w:tblCellSpacing w:w="0" w:type="dxa"/>
        </w:trPr>
        <w:tc>
          <w:tcPr>
            <w:tcW w:w="1110"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轻微</w:t>
            </w:r>
          </w:p>
        </w:tc>
        <w:tc>
          <w:tcPr>
            <w:tcW w:w="4440" w:type="dxa"/>
            <w:tcBorders>
              <w:top w:val="nil"/>
              <w:left w:val="nil"/>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20单（含）以内且金额二万（含）以下</w:t>
            </w:r>
          </w:p>
        </w:tc>
        <w:tc>
          <w:tcPr>
            <w:tcW w:w="1560" w:type="dxa"/>
            <w:tcBorders>
              <w:top w:val="nil"/>
              <w:left w:val="nil"/>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订单金额的10倍</w:t>
            </w:r>
          </w:p>
        </w:tc>
        <w:tc>
          <w:tcPr>
            <w:tcW w:w="1275" w:type="dxa"/>
            <w:tcBorders>
              <w:top w:val="nil"/>
              <w:left w:val="nil"/>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关店一周</w:t>
            </w:r>
          </w:p>
        </w:tc>
      </w:tr>
      <w:tr>
        <w:tblPrEx>
          <w:tblLayout w:type="fixed"/>
          <w:tblCellMar>
            <w:top w:w="0" w:type="dxa"/>
            <w:left w:w="0" w:type="dxa"/>
            <w:bottom w:w="0" w:type="dxa"/>
            <w:right w:w="0" w:type="dxa"/>
          </w:tblCellMar>
        </w:tblPrEx>
        <w:trPr>
          <w:trHeight w:val="330" w:hRule="atLeast"/>
          <w:tblCellSpacing w:w="0" w:type="dxa"/>
        </w:trPr>
        <w:tc>
          <w:tcPr>
            <w:tcW w:w="1110"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一般</w:t>
            </w:r>
          </w:p>
        </w:tc>
        <w:tc>
          <w:tcPr>
            <w:tcW w:w="4440" w:type="dxa"/>
            <w:tcBorders>
              <w:top w:val="nil"/>
              <w:left w:val="nil"/>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20单以上至50单（含）内且金额五万（含）以下</w:t>
            </w:r>
          </w:p>
        </w:tc>
        <w:tc>
          <w:tcPr>
            <w:tcW w:w="1560" w:type="dxa"/>
            <w:tcBorders>
              <w:top w:val="nil"/>
              <w:left w:val="nil"/>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订单金额的10倍</w:t>
            </w:r>
          </w:p>
        </w:tc>
        <w:tc>
          <w:tcPr>
            <w:tcW w:w="1275" w:type="dxa"/>
            <w:tcBorders>
              <w:top w:val="nil"/>
              <w:left w:val="nil"/>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关店两周</w:t>
            </w:r>
          </w:p>
        </w:tc>
      </w:tr>
      <w:tr>
        <w:tblPrEx>
          <w:tblLayout w:type="fixed"/>
          <w:tblCellMar>
            <w:top w:w="0" w:type="dxa"/>
            <w:left w:w="0" w:type="dxa"/>
            <w:bottom w:w="0" w:type="dxa"/>
            <w:right w:w="0" w:type="dxa"/>
          </w:tblCellMar>
        </w:tblPrEx>
        <w:trPr>
          <w:trHeight w:val="330" w:hRule="atLeast"/>
          <w:tblCellSpacing w:w="0" w:type="dxa"/>
        </w:trPr>
        <w:tc>
          <w:tcPr>
            <w:tcW w:w="1110"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严重</w:t>
            </w:r>
          </w:p>
        </w:tc>
        <w:tc>
          <w:tcPr>
            <w:tcW w:w="4440" w:type="dxa"/>
            <w:tcBorders>
              <w:top w:val="nil"/>
              <w:left w:val="nil"/>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50单以上或金额在五万以上</w:t>
            </w:r>
          </w:p>
        </w:tc>
        <w:tc>
          <w:tcPr>
            <w:tcW w:w="1560" w:type="dxa"/>
            <w:tcBorders>
              <w:top w:val="nil"/>
              <w:left w:val="nil"/>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订单金额的10倍</w:t>
            </w:r>
          </w:p>
        </w:tc>
        <w:tc>
          <w:tcPr>
            <w:tcW w:w="1275" w:type="dxa"/>
            <w:tcBorders>
              <w:top w:val="nil"/>
              <w:left w:val="nil"/>
              <w:bottom w:val="single" w:color="000000" w:sz="6" w:space="0"/>
              <w:right w:val="single" w:color="000000" w:sz="6" w:space="0"/>
            </w:tcBorders>
            <w:shd w:val="clear" w:color="auto" w:fill="auto"/>
            <w:tcMar>
              <w:left w:w="105" w:type="dxa"/>
              <w:right w:w="105" w:type="dxa"/>
            </w:tcMar>
            <w:vAlign w:val="bottom"/>
          </w:tcPr>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关店一个月</w:t>
            </w:r>
          </w:p>
        </w:tc>
      </w:tr>
    </w:tbl>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二次违规，无论金额，按订单金额的10倍向</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网支付违约金，并关店一个月</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三次违规，清退处理</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第十二条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出售未经报关进口商品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厂商出售未经正常中国海关报关程序的进口商品，</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网将对厂商处以扣48分清退，并</w:t>
      </w:r>
      <w:r>
        <w:rPr>
          <w:rFonts w:hint="eastAsia" w:ascii="黑体" w:hAnsi="黑体" w:eastAsia="黑体" w:cs="黑体"/>
          <w:b/>
          <w:color w:val="000000"/>
          <w:kern w:val="0"/>
          <w:sz w:val="18"/>
          <w:szCs w:val="18"/>
        </w:rPr>
        <w:t>向</w:t>
      </w:r>
      <w:r>
        <w:rPr>
          <w:rFonts w:hint="eastAsia" w:ascii="黑体" w:hAnsi="黑体" w:eastAsia="黑体" w:cs="黑体"/>
          <w:b/>
          <w:color w:val="000000"/>
          <w:kern w:val="0"/>
          <w:sz w:val="18"/>
          <w:szCs w:val="18"/>
          <w:lang w:eastAsia="zh-CN"/>
        </w:rPr>
        <w:t>熬龙</w:t>
      </w:r>
      <w:r>
        <w:rPr>
          <w:rFonts w:hint="eastAsia" w:ascii="黑体" w:hAnsi="黑体" w:eastAsia="黑体" w:cs="黑体"/>
          <w:b/>
          <w:color w:val="000000"/>
          <w:kern w:val="0"/>
          <w:sz w:val="18"/>
          <w:szCs w:val="18"/>
        </w:rPr>
        <w:t>网支付违约金10万元或全部金额（两者以较高的为准）的处罚。</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第十三条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出售劣质商品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（一）发现出售商品含国家明确禁止的有毒物质，</w:t>
      </w:r>
      <w:r>
        <w:rPr>
          <w:rFonts w:hint="eastAsia" w:ascii="黑体" w:hAnsi="黑体" w:eastAsia="黑体" w:cs="黑体"/>
          <w:b/>
          <w:color w:val="000000"/>
          <w:kern w:val="0"/>
          <w:sz w:val="18"/>
          <w:szCs w:val="18"/>
        </w:rPr>
        <w:t>向</w:t>
      </w:r>
      <w:r>
        <w:rPr>
          <w:rFonts w:hint="eastAsia" w:ascii="黑体" w:hAnsi="黑体" w:eastAsia="黑体" w:cs="黑体"/>
          <w:b/>
          <w:color w:val="000000"/>
          <w:kern w:val="0"/>
          <w:sz w:val="18"/>
          <w:szCs w:val="18"/>
          <w:lang w:eastAsia="zh-CN"/>
        </w:rPr>
        <w:t>熬龙</w:t>
      </w:r>
      <w:r>
        <w:rPr>
          <w:rFonts w:hint="eastAsia" w:ascii="黑体" w:hAnsi="黑体" w:eastAsia="黑体" w:cs="黑体"/>
          <w:b/>
          <w:color w:val="000000"/>
          <w:kern w:val="0"/>
          <w:sz w:val="18"/>
          <w:szCs w:val="18"/>
        </w:rPr>
        <w:t>网支付2万元违约金</w:t>
      </w:r>
      <w:r>
        <w:rPr>
          <w:rFonts w:hint="eastAsia" w:ascii="黑体" w:hAnsi="黑体" w:eastAsia="黑体" w:cs="黑体"/>
          <w:color w:val="000000"/>
          <w:kern w:val="0"/>
          <w:sz w:val="18"/>
          <w:szCs w:val="18"/>
        </w:rPr>
        <w:t>，同时限制参加</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网营销活动14天；再次发现商品含有毒物质的，</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网将对厂商处以扣48分清退，并</w:t>
      </w:r>
      <w:r>
        <w:rPr>
          <w:rFonts w:hint="eastAsia" w:ascii="黑体" w:hAnsi="黑体" w:eastAsia="黑体" w:cs="黑体"/>
          <w:b/>
          <w:color w:val="000000"/>
          <w:kern w:val="0"/>
          <w:sz w:val="18"/>
          <w:szCs w:val="18"/>
        </w:rPr>
        <w:t>向</w:t>
      </w:r>
      <w:r>
        <w:rPr>
          <w:rFonts w:hint="eastAsia" w:ascii="黑体" w:hAnsi="黑体" w:eastAsia="黑体" w:cs="黑体"/>
          <w:b/>
          <w:color w:val="000000"/>
          <w:kern w:val="0"/>
          <w:sz w:val="18"/>
          <w:szCs w:val="18"/>
          <w:lang w:eastAsia="zh-CN"/>
        </w:rPr>
        <w:t>熬龙</w:t>
      </w:r>
      <w:r>
        <w:rPr>
          <w:rFonts w:hint="eastAsia" w:ascii="黑体" w:hAnsi="黑体" w:eastAsia="黑体" w:cs="黑体"/>
          <w:b/>
          <w:color w:val="000000"/>
          <w:kern w:val="0"/>
          <w:sz w:val="18"/>
          <w:szCs w:val="18"/>
        </w:rPr>
        <w:t>网支付违约金10万元或全部金额（两者以较高的为准）的处罚；</w:t>
      </w:r>
      <w:r>
        <w:rPr>
          <w:rFonts w:hint="eastAsia" w:ascii="黑体" w:hAnsi="黑体" w:eastAsia="黑体" w:cs="黑体"/>
          <w:color w:val="000000"/>
          <w:kern w:val="0"/>
          <w:sz w:val="18"/>
          <w:szCs w:val="18"/>
        </w:rPr>
        <w:t>特定类目厂商发现商品含有毒物质的，不论是否首次，</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网将对厂商处以扣48分清退，并</w:t>
      </w:r>
      <w:r>
        <w:rPr>
          <w:rFonts w:hint="eastAsia" w:ascii="黑体" w:hAnsi="黑体" w:eastAsia="黑体" w:cs="黑体"/>
          <w:b/>
          <w:color w:val="000000"/>
          <w:kern w:val="0"/>
          <w:sz w:val="18"/>
          <w:szCs w:val="18"/>
        </w:rPr>
        <w:t>向</w:t>
      </w:r>
      <w:r>
        <w:rPr>
          <w:rFonts w:hint="eastAsia" w:ascii="黑体" w:hAnsi="黑体" w:eastAsia="黑体" w:cs="黑体"/>
          <w:b/>
          <w:color w:val="000000"/>
          <w:kern w:val="0"/>
          <w:sz w:val="18"/>
          <w:szCs w:val="18"/>
          <w:lang w:eastAsia="zh-CN"/>
        </w:rPr>
        <w:t>熬龙</w:t>
      </w:r>
      <w:r>
        <w:rPr>
          <w:rFonts w:hint="eastAsia" w:ascii="黑体" w:hAnsi="黑体" w:eastAsia="黑体" w:cs="黑体"/>
          <w:b/>
          <w:color w:val="000000"/>
          <w:kern w:val="0"/>
          <w:sz w:val="18"/>
          <w:szCs w:val="18"/>
        </w:rPr>
        <w:t>网支付违约金10万元或全部金额（两者以较高的为准）的处罚；</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sz w:val="18"/>
          <w:szCs w:val="18"/>
        </w:rPr>
        <w:t>（二）发现出售质量、性能指标达不到我国已发布的国家标准、行业标准及地方标准所规定要求或所标明的指标与实际不符的商品，按产品相关标准判定风险等级进行处罚</w:t>
      </w:r>
      <w:r>
        <w:rPr>
          <w:rFonts w:hint="eastAsia" w:ascii="黑体" w:hAnsi="黑体" w:eastAsia="黑体" w:cs="黑体"/>
          <w:b/>
          <w:color w:val="000000"/>
          <w:sz w:val="18"/>
          <w:szCs w:val="18"/>
        </w:rPr>
        <w:t>（低风险商品：向</w:t>
      </w:r>
      <w:r>
        <w:rPr>
          <w:rFonts w:hint="eastAsia" w:ascii="黑体" w:hAnsi="黑体" w:eastAsia="黑体" w:cs="黑体"/>
          <w:b/>
          <w:color w:val="000000"/>
          <w:sz w:val="18"/>
          <w:szCs w:val="18"/>
          <w:lang w:eastAsia="zh-CN"/>
        </w:rPr>
        <w:t>熬龙</w:t>
      </w:r>
      <w:r>
        <w:rPr>
          <w:rFonts w:hint="eastAsia" w:ascii="黑体" w:hAnsi="黑体" w:eastAsia="黑体" w:cs="黑体"/>
          <w:b/>
          <w:color w:val="000000"/>
          <w:sz w:val="18"/>
          <w:szCs w:val="18"/>
        </w:rPr>
        <w:t>网支付1000元</w:t>
      </w:r>
      <w:r>
        <w:rPr>
          <w:rFonts w:hint="eastAsia" w:ascii="黑体" w:hAnsi="黑体" w:eastAsia="黑体" w:cs="黑体"/>
          <w:b/>
          <w:color w:val="000000"/>
          <w:kern w:val="0"/>
          <w:sz w:val="18"/>
          <w:szCs w:val="18"/>
        </w:rPr>
        <w:t>违约金；中风险商品：向</w:t>
      </w:r>
      <w:r>
        <w:rPr>
          <w:rFonts w:hint="eastAsia" w:ascii="黑体" w:hAnsi="黑体" w:eastAsia="黑体" w:cs="黑体"/>
          <w:b/>
          <w:color w:val="000000"/>
          <w:kern w:val="0"/>
          <w:sz w:val="18"/>
          <w:szCs w:val="18"/>
          <w:lang w:eastAsia="zh-CN"/>
        </w:rPr>
        <w:t>熬龙</w:t>
      </w:r>
      <w:r>
        <w:rPr>
          <w:rFonts w:hint="eastAsia" w:ascii="黑体" w:hAnsi="黑体" w:eastAsia="黑体" w:cs="黑体"/>
          <w:b/>
          <w:color w:val="000000"/>
          <w:kern w:val="0"/>
          <w:sz w:val="18"/>
          <w:szCs w:val="18"/>
        </w:rPr>
        <w:t>网支付3000元违约金；高风险商品：向</w:t>
      </w:r>
      <w:r>
        <w:rPr>
          <w:rFonts w:hint="eastAsia" w:ascii="黑体" w:hAnsi="黑体" w:eastAsia="黑体" w:cs="黑体"/>
          <w:b/>
          <w:color w:val="000000"/>
          <w:kern w:val="0"/>
          <w:sz w:val="18"/>
          <w:szCs w:val="18"/>
          <w:lang w:eastAsia="zh-CN"/>
        </w:rPr>
        <w:t>熬龙</w:t>
      </w:r>
      <w:r>
        <w:rPr>
          <w:rFonts w:hint="eastAsia" w:ascii="黑体" w:hAnsi="黑体" w:eastAsia="黑体" w:cs="黑体"/>
          <w:b/>
          <w:color w:val="000000"/>
          <w:kern w:val="0"/>
          <w:sz w:val="18"/>
          <w:szCs w:val="18"/>
        </w:rPr>
        <w:t>网支付8000元违约金）。</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第十四条 申请取消订单未告知</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（一）定义：</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指的是由于厂商原因未按照</w:t>
      </w:r>
      <w:r>
        <w:rPr>
          <w:rFonts w:hint="eastAsia" w:ascii="黑体" w:hAnsi="黑体" w:eastAsia="黑体" w:cs="黑体"/>
          <w:b/>
          <w:color w:val="000000"/>
          <w:kern w:val="0"/>
          <w:sz w:val="18"/>
          <w:szCs w:val="18"/>
        </w:rPr>
        <w:t>附录（2）《</w:t>
      </w:r>
      <w:r>
        <w:fldChar w:fldCharType="begin"/>
      </w:r>
      <w:r>
        <w:instrText xml:space="preserve"> HYPERLINK "http://shop.dangdang.com/help/shenqingquxiaodingdan" \t "http://shop.dangdang.com/help/_blank" </w:instrText>
      </w:r>
      <w:r>
        <w:fldChar w:fldCharType="separate"/>
      </w:r>
      <w:r>
        <w:rPr>
          <w:rFonts w:hint="eastAsia" w:ascii="黑体" w:hAnsi="黑体" w:eastAsia="黑体" w:cs="黑体"/>
          <w:b/>
          <w:color w:val="000000"/>
          <w:kern w:val="0"/>
          <w:sz w:val="18"/>
          <w:szCs w:val="18"/>
        </w:rPr>
        <w:t>申请取消订单标准</w:t>
      </w:r>
      <w:r>
        <w:rPr>
          <w:rFonts w:hint="eastAsia" w:ascii="黑体" w:hAnsi="黑体" w:eastAsia="黑体" w:cs="黑体"/>
          <w:b/>
          <w:color w:val="000000"/>
          <w:kern w:val="0"/>
          <w:sz w:val="18"/>
          <w:szCs w:val="18"/>
        </w:rPr>
        <w:fldChar w:fldCharType="end"/>
      </w:r>
      <w:r>
        <w:rPr>
          <w:rFonts w:hint="eastAsia" w:ascii="黑体" w:hAnsi="黑体" w:eastAsia="黑体" w:cs="黑体"/>
          <w:b/>
          <w:color w:val="000000"/>
          <w:kern w:val="0"/>
          <w:sz w:val="18"/>
          <w:szCs w:val="18"/>
        </w:rPr>
        <w:t>》</w:t>
      </w:r>
      <w:r>
        <w:rPr>
          <w:rFonts w:hint="eastAsia" w:ascii="黑体" w:hAnsi="黑体" w:eastAsia="黑体" w:cs="黑体"/>
          <w:color w:val="000000"/>
          <w:kern w:val="0"/>
          <w:sz w:val="18"/>
          <w:szCs w:val="18"/>
        </w:rPr>
        <w:t>导致订单最终取消的，原因包含但不限于：订单缺货、价格标记错误未发货、联系不上会员、报关失败、地址无法送达等，针对申请取消订单未告知的情况，厂商需根据会员意愿按以下方案进行处理：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w:t>
      </w:r>
      <w:r>
        <w:rPr>
          <w:rFonts w:hint="eastAsia" w:ascii="黑体" w:hAnsi="黑体" w:eastAsia="黑体" w:cs="黑体"/>
          <w:b/>
          <w:color w:val="000000"/>
          <w:kern w:val="0"/>
          <w:sz w:val="18"/>
          <w:szCs w:val="18"/>
        </w:rPr>
        <w:t>若会员在订单交易未成功后7日内重新订购，</w:t>
      </w:r>
      <w:r>
        <w:rPr>
          <w:rFonts w:hint="eastAsia" w:ascii="黑体" w:hAnsi="黑体" w:eastAsia="黑体" w:cs="黑体"/>
          <w:color w:val="000000"/>
          <w:kern w:val="0"/>
          <w:sz w:val="18"/>
          <w:szCs w:val="18"/>
        </w:rPr>
        <w:t>厂商应将差价补偿给会员，如会员投诉至</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网有权代厂商将差价先行赔付给会员，后续从厂商货款中扣回；</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2．会员不再订购此商品仅针对取消订单未告知进行投诉，</w:t>
      </w:r>
      <w:r>
        <w:rPr>
          <w:rFonts w:hint="eastAsia" w:ascii="黑体" w:hAnsi="黑体" w:eastAsia="黑体" w:cs="黑体"/>
          <w:b/>
          <w:color w:val="000000"/>
          <w:kern w:val="0"/>
          <w:sz w:val="18"/>
          <w:szCs w:val="18"/>
        </w:rPr>
        <w:t>厂商应按照缺货商品原价的30%支付违约金，最高不超过500元，违约金后续从厂商货款中扣回，</w:t>
      </w:r>
      <w:r>
        <w:rPr>
          <w:rFonts w:hint="eastAsia" w:ascii="黑体" w:hAnsi="黑体" w:eastAsia="黑体" w:cs="黑体"/>
          <w:color w:val="000000"/>
          <w:kern w:val="0"/>
          <w:sz w:val="18"/>
          <w:szCs w:val="18"/>
        </w:rPr>
        <w:t>如会员投诉至</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网有权将违约金代厂商先行赔付给会员，后续从厂商货款中扣回；</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（二）缺货管理：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厂商应及时查看库存并更改系统信息，下架缺货商品。如发生缺货无法发货的情形，需在会员订单生成后24小时内电话联系客户，需调货的，告知客户商品的到货时间，无法调货的，需明确征得客户同意，并与24小时内提取消订单申请。如因未联系客户或因厂商缺货导致客户投诉成立的，厂商应按照，</w:t>
      </w:r>
      <w:r>
        <w:rPr>
          <w:rFonts w:hint="eastAsia" w:ascii="黑体" w:hAnsi="黑体" w:eastAsia="黑体" w:cs="黑体"/>
          <w:b/>
          <w:color w:val="000000"/>
          <w:kern w:val="0"/>
          <w:sz w:val="18"/>
          <w:szCs w:val="18"/>
        </w:rPr>
        <w:t>缺货商品原价的30%支付违约金，最高不超过500元。</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第十五条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发货管理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（一）定义</w:t>
      </w: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color w:val="000000"/>
          <w:kern w:val="0"/>
          <w:sz w:val="18"/>
          <w:szCs w:val="18"/>
        </w:rPr>
        <w:t>1．</w:t>
      </w:r>
      <w:r>
        <w:rPr>
          <w:rFonts w:hint="eastAsia" w:ascii="黑体" w:hAnsi="黑体" w:eastAsia="黑体" w:cs="黑体"/>
          <w:b/>
          <w:color w:val="000000"/>
          <w:kern w:val="0"/>
          <w:sz w:val="18"/>
          <w:szCs w:val="18"/>
        </w:rPr>
        <w:t>订单审核通过后24小时之内厂商应操作发货并同时向系统提交快递单号（提交快递单号时间以</w:t>
      </w:r>
      <w:r>
        <w:rPr>
          <w:rFonts w:hint="eastAsia" w:ascii="黑体" w:hAnsi="黑体" w:eastAsia="黑体" w:cs="黑体"/>
          <w:b/>
          <w:color w:val="000000"/>
          <w:kern w:val="0"/>
          <w:sz w:val="18"/>
          <w:szCs w:val="18"/>
          <w:lang w:eastAsia="zh-CN"/>
        </w:rPr>
        <w:t>熬龙</w:t>
      </w:r>
      <w:r>
        <w:rPr>
          <w:rFonts w:hint="eastAsia" w:ascii="黑体" w:hAnsi="黑体" w:eastAsia="黑体" w:cs="黑体"/>
          <w:b/>
          <w:color w:val="000000"/>
          <w:kern w:val="0"/>
          <w:sz w:val="18"/>
          <w:szCs w:val="18"/>
        </w:rPr>
        <w:t>网系统记录为准）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2．厂商自发订单，审核通过后</w:t>
      </w:r>
      <w:r>
        <w:rPr>
          <w:rFonts w:hint="eastAsia" w:ascii="黑体" w:hAnsi="黑体" w:eastAsia="黑体" w:cs="黑体"/>
          <w:b/>
          <w:color w:val="000000"/>
          <w:kern w:val="0"/>
          <w:sz w:val="18"/>
          <w:szCs w:val="18"/>
        </w:rPr>
        <w:t>48小时内</w:t>
      </w:r>
      <w:r>
        <w:rPr>
          <w:rFonts w:hint="eastAsia" w:ascii="黑体" w:hAnsi="黑体" w:eastAsia="黑体" w:cs="黑体"/>
          <w:color w:val="000000"/>
          <w:kern w:val="0"/>
          <w:sz w:val="18"/>
          <w:szCs w:val="18"/>
        </w:rPr>
        <w:t>需能查询到订单的快递公司揽件跟踪信息（以快递公司系统揽收时间为准）；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3．厂商需根据订单中的发货模式发货；</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4．定制、预售及其他特殊情形等另行约定发货时间的商品，如生活旅行类、定制类、装修服务类、大件商品（家具类、大家电、大件运动器械、大件健身器具、大件家具、大件建筑装修材料、大件乐器等）、海外购商品，厂商需要自承诺发货的最后一日起计算，按照本条1,2,3款中的时效发货。</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5．发货包装中（包括但不限于外包装盒、内部夹页、退换货页、封箱胶等），厂商可以增加</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网开放平台店铺链接及二维码链接等信息；发货包装中不得有其他平台的店铺信息、（包括但不限于链接、二维码、联系信息），或与该店铺商品无关的信息。商品外包装不得贴有其它公司logo。</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（二）违规处理：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1．违背以上1,2,3,4,的订单，每单扣0.5分；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2．违背以上第5条的订单，每单扣1分；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3．双方交易达成后，若会员投诉厂商发货延迟成立，</w:t>
      </w:r>
      <w:r>
        <w:rPr>
          <w:rFonts w:hint="eastAsia" w:ascii="黑体" w:hAnsi="黑体" w:eastAsia="黑体" w:cs="黑体"/>
          <w:b/>
          <w:color w:val="000000"/>
          <w:kern w:val="0"/>
          <w:sz w:val="18"/>
          <w:szCs w:val="18"/>
        </w:rPr>
        <w:t>厂商应按照商品实际成交金额的30%作为违约金（最低20，最高不超过500元），违约金后续从厂商货款中扣回；</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4．厂商标记发货后的</w:t>
      </w:r>
      <w:r>
        <w:rPr>
          <w:rFonts w:hint="eastAsia" w:ascii="黑体" w:hAnsi="黑体" w:eastAsia="黑体" w:cs="黑体"/>
          <w:b/>
          <w:color w:val="000000"/>
          <w:kern w:val="0"/>
          <w:sz w:val="18"/>
          <w:szCs w:val="18"/>
        </w:rPr>
        <w:t>24小时内</w:t>
      </w:r>
      <w:r>
        <w:rPr>
          <w:rFonts w:hint="eastAsia" w:ascii="黑体" w:hAnsi="黑体" w:eastAsia="黑体" w:cs="黑体"/>
          <w:color w:val="000000"/>
          <w:kern w:val="0"/>
          <w:sz w:val="18"/>
          <w:szCs w:val="18"/>
        </w:rPr>
        <w:t>没有物流公司的揽件信息按发货延迟理并处罚；</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5．定制、预售及其他特殊情形等另行约定发货时间的商品，如生活旅行类、定制类、装修服务类、大件商品（家具类、大家电、大件运动器械、大件健身器具、大件家具、大件建筑装修材料、大件乐器等）、海外购商品，厂商需要自承诺发货的最后一日起计算（定制、海外购商品按照标题的定制周期为准），按照本条1,2,3款中的时效发货。</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6．无特殊原因快递单号收货地址与实际收货地址不符按未按时发货处理并处罚（如系统显示会员收货地址是北京，但快递信息显示签收是上海）；</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7．上传包裹号错误，在客服联系后</w:t>
      </w:r>
      <w:r>
        <w:rPr>
          <w:rFonts w:hint="eastAsia" w:ascii="黑体" w:hAnsi="黑体" w:eastAsia="黑体" w:cs="黑体"/>
          <w:b/>
          <w:color w:val="000000"/>
          <w:kern w:val="0"/>
          <w:sz w:val="18"/>
          <w:szCs w:val="18"/>
        </w:rPr>
        <w:t>6小时内</w:t>
      </w:r>
      <w:r>
        <w:rPr>
          <w:rFonts w:hint="eastAsia" w:ascii="黑体" w:hAnsi="黑体" w:eastAsia="黑体" w:cs="黑体"/>
          <w:color w:val="000000"/>
          <w:kern w:val="0"/>
          <w:sz w:val="18"/>
          <w:szCs w:val="18"/>
        </w:rPr>
        <w:t>提供正确包裹号且包裹号所显示快递信息在规定时效内发货，不作处罚，超过发货时效，按延迟发货处理；如客服联系后未在6小时内提供正确的包裹号按未按时发货处理并处罚；</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8．厂商在销售过程中因为缺货、价格变动等原因不愿发货的订单，用虚假发货单使得订单详情中显示发货但实际货物未发出的行为未按时发货处理并处罚 ；</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9．对于未在后台点击出库，但货已发出，按未发货处理并处罚；</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（三）补充说明：</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1．国外订单，厂商如无法发货，必须在厂商首页明确公告或设置相应的合理运费金额</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2．特定节假日以厂商后台公告的统一发货时间安排为准，不以厂商店铺公告为准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3．由</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提供配送服务的，厂商应在约定时间之前准备好货物，并制作取货交接表与取件公司现场交接货物，交接完毕后取件公司在取货交接表上签字确认。若后期出现货物差异但无法提供交接表，将以取货公司回复的结果为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4．不由</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网提供配送服务的订单，发生丢件、厂商或快递公司原因拒签，建议会员重新订购时，产生的差价，差价金额由厂商承担</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5．由</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网提供配送服务的订单，如遇订单丢单、差异问题，建议会员重新订购时，产生的差价，差价金额由责任方承担</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6．如遇交通运输管制、大雨雪、地震等不可抗力因素而影响发货的订单无法发货或延迟发货的，不适用本约定</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7．分包裹发出订单，需将订单中涉及到的所有快递包裹号同步短信、电话通知会员。</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第十六条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退换货及退款审核管理规定</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如厂商出现少发、错发、商品质量等厂商原因导致的退换货问题，导致会员申请退换货，无论包邮与否，订单的往返运费由厂商承担；若存在包装破损、商品错误、商品少发、商品有表面质量问题等影响签收的因素，会员有权进行拒签，订单中运费由厂商承担</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如会员自身原因（色差，尺码不合适，购买错误等非质量问题）拒收，订单中运费由会员承担。</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（二）无理由未签收或退货的，会员购买的包邮商品，商品页面未做特殊描述的，如遇会员拒签，厂商不得以任何形式要求会员承担运费。</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（三）退换货操作要求</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1．会员通过前台提交的自助退换货申请全部由厂商审核，客户提交退换货申请，厂商需根据会员描述的退换货原因及商品情况，</w:t>
      </w:r>
      <w:r>
        <w:rPr>
          <w:rFonts w:hint="eastAsia" w:ascii="黑体" w:hAnsi="黑体" w:eastAsia="黑体" w:cs="黑体"/>
          <w:b/>
          <w:color w:val="000000"/>
          <w:kern w:val="0"/>
          <w:sz w:val="18"/>
          <w:szCs w:val="18"/>
        </w:rPr>
        <w:t>在48小时内做出操作（审核通过或审核不通过）</w:t>
      </w:r>
      <w:r>
        <w:rPr>
          <w:rFonts w:hint="eastAsia" w:ascii="黑体" w:hAnsi="黑体" w:eastAsia="黑体" w:cs="黑体"/>
          <w:color w:val="000000"/>
          <w:kern w:val="0"/>
          <w:sz w:val="18"/>
          <w:szCs w:val="18"/>
        </w:rPr>
        <w:t>，审核通过：需将退换货地址及注意事项描述清楚，审核不通过：需将不通过理由描述清楚，同时电话与会员进行沟通不通过原因。如需会员补充信息，即提供实物图片、质量问题检测报告等，同步电话、短信提示会员操作；</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2．对于无法判断是否可退的情况，需要及时反馈客服，由客服判断后做出处理；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3．厂商需在收到会员退回货物后</w:t>
      </w:r>
      <w:r>
        <w:rPr>
          <w:rFonts w:hint="eastAsia" w:ascii="黑体" w:hAnsi="黑体" w:eastAsia="黑体" w:cs="黑体"/>
          <w:b/>
          <w:color w:val="000000"/>
          <w:kern w:val="0"/>
          <w:sz w:val="18"/>
          <w:szCs w:val="18"/>
        </w:rPr>
        <w:t>48小时内</w:t>
      </w:r>
      <w:r>
        <w:rPr>
          <w:rFonts w:hint="eastAsia" w:ascii="黑体" w:hAnsi="黑体" w:eastAsia="黑体" w:cs="黑体"/>
          <w:color w:val="000000"/>
          <w:kern w:val="0"/>
          <w:sz w:val="18"/>
          <w:szCs w:val="18"/>
        </w:rPr>
        <w:t>（以物流显示签收信息为准）操作“同意退款”、“拒绝退款”，退款需将不通过理由描述清楚；</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4．</w:t>
      </w:r>
      <w:r>
        <w:rPr>
          <w:rFonts w:hint="eastAsia" w:ascii="黑体" w:hAnsi="黑体" w:eastAsia="黑体" w:cs="黑体"/>
          <w:b/>
          <w:color w:val="000000"/>
          <w:kern w:val="0"/>
          <w:sz w:val="18"/>
          <w:szCs w:val="18"/>
        </w:rPr>
        <w:t>退换货受理后第5天仍未收到会员寄回的商品，</w:t>
      </w:r>
      <w:r>
        <w:rPr>
          <w:rFonts w:hint="eastAsia" w:ascii="黑体" w:hAnsi="黑体" w:eastAsia="黑体" w:cs="黑体"/>
          <w:color w:val="000000"/>
          <w:kern w:val="0"/>
          <w:sz w:val="18"/>
          <w:szCs w:val="18"/>
        </w:rPr>
        <w:t>厂商可进入厂商后台退换货处理页面进行延期操作，非此原因，不得随意操作延期</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5．会员申请的仅退款，厂商需要在会员申请后的</w:t>
      </w:r>
      <w:r>
        <w:rPr>
          <w:rFonts w:hint="eastAsia" w:ascii="黑体" w:hAnsi="黑体" w:eastAsia="黑体" w:cs="黑体"/>
          <w:b/>
          <w:color w:val="000000"/>
          <w:kern w:val="0"/>
          <w:sz w:val="18"/>
          <w:szCs w:val="18"/>
        </w:rPr>
        <w:t>48小时</w:t>
      </w:r>
      <w:r>
        <w:rPr>
          <w:rFonts w:hint="eastAsia" w:ascii="黑体" w:hAnsi="黑体" w:eastAsia="黑体" w:cs="黑体"/>
          <w:color w:val="000000"/>
          <w:kern w:val="0"/>
          <w:sz w:val="18"/>
          <w:szCs w:val="18"/>
        </w:rPr>
        <w:t>内操作（审核通过或审核不通过）。</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（四）违规处理：厂商违背以上承诺的，每单扣1分。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（五）超时审核退款：</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1．若存在包装破损、商品错误、商品少发、商品有表面质量问题等影响签收的因素，会员有权进行拒签，厂商需在收到拒收商品后</w:t>
      </w:r>
      <w:r>
        <w:rPr>
          <w:rFonts w:hint="eastAsia" w:ascii="黑体" w:hAnsi="黑体" w:eastAsia="黑体" w:cs="黑体"/>
          <w:b/>
          <w:color w:val="000000"/>
          <w:kern w:val="0"/>
          <w:sz w:val="18"/>
          <w:szCs w:val="18"/>
        </w:rPr>
        <w:t>48小时内</w:t>
      </w:r>
      <w:r>
        <w:rPr>
          <w:rFonts w:hint="eastAsia" w:ascii="黑体" w:hAnsi="黑体" w:eastAsia="黑体" w:cs="黑体"/>
          <w:color w:val="000000"/>
          <w:kern w:val="0"/>
          <w:sz w:val="18"/>
          <w:szCs w:val="18"/>
        </w:rPr>
        <w:t>为会员完成退款审核操作</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2．若</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网判定厂商超</w:t>
      </w:r>
      <w:r>
        <w:rPr>
          <w:rFonts w:hint="eastAsia" w:ascii="黑体" w:hAnsi="黑体" w:eastAsia="黑体" w:cs="黑体"/>
          <w:b/>
          <w:color w:val="000000"/>
          <w:kern w:val="0"/>
          <w:sz w:val="18"/>
          <w:szCs w:val="18"/>
        </w:rPr>
        <w:t>48小时</w:t>
      </w:r>
      <w:r>
        <w:rPr>
          <w:rFonts w:hint="eastAsia" w:ascii="黑体" w:hAnsi="黑体" w:eastAsia="黑体" w:cs="黑体"/>
          <w:color w:val="000000"/>
          <w:kern w:val="0"/>
          <w:sz w:val="18"/>
          <w:szCs w:val="18"/>
        </w:rPr>
        <w:t>（以快递公司系统记录的时间为准）未审核退款，或无理由驳回退款成立后，</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网有权以</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网余额的形式为会员优先赔付退全款，产生费用由厂商承担。</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第十七条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价格保护</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若在商品签收后</w:t>
      </w:r>
      <w:r>
        <w:rPr>
          <w:rFonts w:hint="eastAsia" w:ascii="黑体" w:hAnsi="黑体" w:eastAsia="黑体" w:cs="黑体"/>
          <w:b/>
          <w:color w:val="000000"/>
          <w:kern w:val="0"/>
          <w:sz w:val="18"/>
          <w:szCs w:val="18"/>
        </w:rPr>
        <w:t>24小时内</w:t>
      </w:r>
      <w:r>
        <w:rPr>
          <w:rFonts w:hint="eastAsia" w:ascii="黑体" w:hAnsi="黑体" w:eastAsia="黑体" w:cs="黑体"/>
          <w:color w:val="000000"/>
          <w:kern w:val="0"/>
          <w:sz w:val="18"/>
          <w:szCs w:val="18"/>
        </w:rPr>
        <w:t>，出现降价的情况（抢购、秒杀商品除外），会员要求补偿差价的，厂商应退还差价，针对此种情况</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网有权代厂商进行先行退款，款项后续从厂商货款中扣回</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第十八条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少、错件处理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（一）厂商必须按照订单明细和网页商品描述打包发送货物；</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（二）如后期客户投诉少配件、少赠品，少商品，厂商需在接到客服通知后，</w:t>
      </w:r>
      <w:r>
        <w:rPr>
          <w:rFonts w:hint="eastAsia" w:ascii="黑体" w:hAnsi="黑体" w:eastAsia="黑体" w:cs="黑体"/>
          <w:b/>
          <w:color w:val="000000"/>
          <w:kern w:val="0"/>
          <w:sz w:val="18"/>
          <w:szCs w:val="18"/>
        </w:rPr>
        <w:t>24小时</w:t>
      </w:r>
      <w:r>
        <w:rPr>
          <w:rFonts w:hint="eastAsia" w:ascii="黑体" w:hAnsi="黑体" w:eastAsia="黑体" w:cs="黑体"/>
          <w:color w:val="000000"/>
          <w:kern w:val="0"/>
          <w:sz w:val="18"/>
          <w:szCs w:val="18"/>
        </w:rPr>
        <w:t>补发，</w:t>
      </w:r>
      <w:r>
        <w:rPr>
          <w:rFonts w:hint="eastAsia" w:ascii="黑体" w:hAnsi="黑体" w:eastAsia="黑体" w:cs="黑体"/>
          <w:b/>
          <w:color w:val="000000"/>
          <w:kern w:val="0"/>
          <w:sz w:val="18"/>
          <w:szCs w:val="18"/>
        </w:rPr>
        <w:t>48小时内</w:t>
      </w:r>
      <w:r>
        <w:rPr>
          <w:rFonts w:hint="eastAsia" w:ascii="黑体" w:hAnsi="黑体" w:eastAsia="黑体" w:cs="黑体"/>
          <w:color w:val="000000"/>
          <w:kern w:val="0"/>
          <w:sz w:val="18"/>
          <w:szCs w:val="18"/>
        </w:rPr>
        <w:t>显示补发商品的物流信息（以第三方快递公司记录为准）；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（三）如出现少发商品（包含赠品、配件），厂商无法补发或拒接补发的；</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（四）如后期客户投诉错发商品（包含赠品），厂商在收到会员寄回的错发商品后（以快递显示的签收时间为准），</w:t>
      </w:r>
      <w:r>
        <w:rPr>
          <w:rFonts w:hint="eastAsia" w:ascii="黑体" w:hAnsi="黑体" w:eastAsia="黑体" w:cs="黑体"/>
          <w:b/>
          <w:color w:val="000000"/>
          <w:kern w:val="0"/>
          <w:sz w:val="18"/>
          <w:szCs w:val="18"/>
        </w:rPr>
        <w:t>24小时</w:t>
      </w:r>
      <w:r>
        <w:rPr>
          <w:rFonts w:hint="eastAsia" w:ascii="黑体" w:hAnsi="黑体" w:eastAsia="黑体" w:cs="黑体"/>
          <w:color w:val="000000"/>
          <w:kern w:val="0"/>
          <w:sz w:val="18"/>
          <w:szCs w:val="18"/>
        </w:rPr>
        <w:t>补发，</w:t>
      </w:r>
      <w:r>
        <w:rPr>
          <w:rFonts w:hint="eastAsia" w:ascii="黑体" w:hAnsi="黑体" w:eastAsia="黑体" w:cs="黑体"/>
          <w:b/>
          <w:color w:val="000000"/>
          <w:kern w:val="0"/>
          <w:sz w:val="18"/>
          <w:szCs w:val="18"/>
        </w:rPr>
        <w:t>48小时</w:t>
      </w:r>
      <w:r>
        <w:rPr>
          <w:rFonts w:hint="eastAsia" w:ascii="黑体" w:hAnsi="黑体" w:eastAsia="黑体" w:cs="黑体"/>
          <w:color w:val="000000"/>
          <w:kern w:val="0"/>
          <w:sz w:val="18"/>
          <w:szCs w:val="18"/>
        </w:rPr>
        <w:t>内显示补发商品的物流信息（以第三方快递公司记录为准）；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（五）客服反馈会员投诉后，需厂商在</w:t>
      </w:r>
      <w:r>
        <w:rPr>
          <w:rFonts w:hint="eastAsia" w:ascii="黑体" w:hAnsi="黑体" w:eastAsia="黑体" w:cs="黑体"/>
          <w:b/>
          <w:color w:val="000000"/>
          <w:kern w:val="0"/>
          <w:sz w:val="18"/>
          <w:szCs w:val="18"/>
        </w:rPr>
        <w:t>6小时</w:t>
      </w:r>
      <w:r>
        <w:rPr>
          <w:rFonts w:hint="eastAsia" w:ascii="黑体" w:hAnsi="黑体" w:eastAsia="黑体" w:cs="黑体"/>
          <w:color w:val="000000"/>
          <w:kern w:val="0"/>
          <w:sz w:val="18"/>
          <w:szCs w:val="18"/>
        </w:rPr>
        <w:t>回复处理结果。未按时回复处理结果的，</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网有权直接为客户办理退款或先行赔偿，产生额外费用和财物损失，厂商自行承担。</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第十九条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发票管理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（一）厂商提供给会员的发票不得是无法查询到相关发票信息的虚假发票；</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（二）厂商客户下单后，厂商需要按照订单开具发票，不得以任何理由拒开，发票要求使用"当地税务局通用机打发票"，发票上需盖有厂商"发票专用章"；严禁厂商使用定额发票、收款收据、销售证明等代替；</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（三）发票抬头和内容，需和订单详情中客户要求一致，不得有任何差异，对于发票抬头开具错误者，厂商有义务承担来回运费，给客户更换正确发票；</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（四）发票金额：发票金额需和订单商品金额一致；对于订单中余额支付的，也需将此部分款项正常开入发票；</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（五）发票开具后需放入包裹明显位置，随订单包裹一起邮寄给客户，如出现发票短缺，厂商在发货前，需通知并与会员确认结果，未联系到会员的情况，需在包裹中附加"发票补寄时间说明"；</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（六）使用礼品卡购买的商品，需提供保修发票（即0元发票），随订单包裹一起邮寄给客户；</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（七）商品包裹中需同时附带发货清单一起寄给会员；</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（八）对于客户投诉错漏开发票：</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1．一般投诉：厂商需在</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网通知后3小时内向会员补寄发票，并在36小时向</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网提供补寄发票的快递运单号，且在</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网通知后60小时内有可查询的快递公司揽件跟踪信息（以快递公司系统记录的时间为准）或告知与会员协商的发票最快开具时间。厂商不得使用平信或挂号方式邮寄，补寄发票产生的运费由厂商承担。</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2．严重投诉：会员严重投诉、工商、消协、媒体、微博等特殊投诉，厂商需在</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网通知后1小时内向会员补寄发票，并在36小时向</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网提供补寄发票的快递运单号，且在</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网通知后60小时内有可查询的快递公司揽件跟踪信息（以快递公司系统记录的时间为准）或告知与会员协商的发票最快开具时间。厂商不得使用平信或挂号方式邮寄，补寄发票产生的运费由厂商承担。</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 xml:space="preserve">（九）会员自助申请补开发票，厂商需在24小时内做出操作（通过、不通过），如审核通过后需36小时向会员提供补寄发票的快递运单号，该运单号需要在审核通过后60小时内有可查询的快递公司揽件跟踪信息（以快递公司系统记录的时间为准） </w:t>
      </w:r>
      <w:r>
        <w:rPr>
          <w:rFonts w:ascii="Calibri" w:hAnsi="Calibri" w:eastAsia="黑体" w:cs="Calibri"/>
          <w:color w:val="000000"/>
          <w:kern w:val="0"/>
          <w:sz w:val="18"/>
          <w:szCs w:val="18"/>
        </w:rPr>
        <w:t> </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（十）会员下单未索要发票的，后期如会员要求补开发票，厂商可协商补开发票运费由会员承担，运费承担方式（到付或会员提前打款给厂商等）需与会员进行沟通。</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（十一）违规处理：厂商违背以上承诺的，每单处罚1分；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注：如厂商拒绝开具发票的，</w:t>
      </w:r>
      <w:r>
        <w:rPr>
          <w:rFonts w:hint="eastAsia" w:ascii="黑体" w:hAnsi="黑体" w:eastAsia="黑体" w:cs="黑体"/>
          <w:color w:val="000000" w:themeColor="text1"/>
          <w:kern w:val="0"/>
          <w:sz w:val="18"/>
          <w:szCs w:val="18"/>
          <w14:textFill>
            <w14:solidFill>
              <w14:schemeClr w14:val="tx1"/>
            </w14:solidFill>
          </w14:textFill>
        </w:rPr>
        <w:t>每单处罚</w:t>
      </w:r>
      <w:r>
        <w:rPr>
          <w:rFonts w:ascii="黑体" w:hAnsi="黑体" w:eastAsia="黑体" w:cs="黑体"/>
          <w:color w:val="000000" w:themeColor="text1"/>
          <w:kern w:val="0"/>
          <w:sz w:val="18"/>
          <w:szCs w:val="18"/>
          <w14:textFill>
            <w14:solidFill>
              <w14:schemeClr w14:val="tx1"/>
            </w14:solidFill>
          </w14:textFill>
        </w:rPr>
        <w:t>3</w:t>
      </w:r>
      <w:r>
        <w:rPr>
          <w:rFonts w:hint="eastAsia" w:ascii="黑体" w:hAnsi="黑体" w:eastAsia="黑体" w:cs="黑体"/>
          <w:color w:val="000000" w:themeColor="text1"/>
          <w:kern w:val="0"/>
          <w:sz w:val="18"/>
          <w:szCs w:val="18"/>
          <w14:textFill>
            <w14:solidFill>
              <w14:schemeClr w14:val="tx1"/>
            </w14:solidFill>
          </w14:textFill>
        </w:rPr>
        <w:t>分</w:t>
      </w:r>
      <w:r>
        <w:rPr>
          <w:rFonts w:hint="eastAsia" w:ascii="黑体" w:hAnsi="黑体" w:eastAsia="黑体" w:cs="黑体"/>
          <w:color w:val="000000"/>
          <w:kern w:val="0"/>
          <w:sz w:val="18"/>
          <w:szCs w:val="18"/>
        </w:rPr>
        <w:t>，同时</w:t>
      </w:r>
      <w:r>
        <w:rPr>
          <w:rFonts w:hint="eastAsia" w:ascii="黑体" w:hAnsi="黑体" w:eastAsia="黑体" w:cs="黑体"/>
          <w:b/>
          <w:color w:val="000000"/>
          <w:kern w:val="0"/>
          <w:sz w:val="18"/>
          <w:szCs w:val="18"/>
        </w:rPr>
        <w:t>按订单金额30%赔付会员，最低20元，最高500元</w:t>
      </w:r>
      <w:r>
        <w:rPr>
          <w:rFonts w:hint="eastAsia" w:ascii="黑体" w:hAnsi="黑体" w:eastAsia="黑体" w:cs="黑体"/>
          <w:color w:val="000000"/>
          <w:kern w:val="0"/>
          <w:sz w:val="18"/>
          <w:szCs w:val="18"/>
        </w:rPr>
        <w:t>；</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第二十条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促销管理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网鼓励厂商积极参加</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网组织的全场促销活动，厂商有权选择是否在</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网的统一部署下按照</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网指定的促销规则参加，促销所产生的费用由厂商自行承担。厂商应严格按照促销规则进行执行，按时按量提供促销承诺的优惠，避免会员投诉。</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（二）各厂商自己开展的促销活动需提前告知</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网招商人员审核，</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网批准后方能够执行。</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（三）厂商开展促销活动，在促销形式、折扣、促销商品或赠品的种类上，应当符合国家法律法规的规定和</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网的规定，否则</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网有权强行干预或撤销此促销活动。</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（四）在促销期间</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网有权要求促销商品价格不高于竞争对手的同样商品价格，由于竞争对手价格变动导致促销商品价格不能达到</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网要求的，</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网有权停止促销行为或者修改促销商品价格，并及时通知厂商。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（五）促销结束后及时更新页面信息，撤掉促销提示；</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（六）发放礼券，务必先装券后发促销短信。短信内容务必注明礼券类型及有效期，不得出现现金券字样；同时，应注明礼券使用规则 。如300-100、600-200等</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（七）线上产品宣传的描述中不得有“送礼、送领导”等类似表述</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（八）违规处理：厂商违背以上承诺的，每次扣1分</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第二十一条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商品价格</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（一）厂商在</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网销售的商品的价格由厂商自行制定，但</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网有权对厂商的价格依法进行干预。厂商应该遵守</w:t>
      </w:r>
      <w:r>
        <w:rPr>
          <w:rFonts w:hint="eastAsia" w:ascii="黑体" w:hAnsi="黑体" w:eastAsia="黑体" w:cs="黑体"/>
          <w:b/>
          <w:color w:val="000000"/>
          <w:kern w:val="0"/>
          <w:sz w:val="18"/>
          <w:szCs w:val="18"/>
        </w:rPr>
        <w:t>《中华人民共和国价格法》</w:t>
      </w:r>
      <w:r>
        <w:rPr>
          <w:rFonts w:hint="eastAsia" w:ascii="黑体" w:hAnsi="黑体" w:eastAsia="黑体" w:cs="黑体"/>
          <w:color w:val="000000"/>
          <w:kern w:val="0"/>
          <w:sz w:val="18"/>
          <w:szCs w:val="18"/>
        </w:rPr>
        <w:t>、</w:t>
      </w:r>
      <w:r>
        <w:rPr>
          <w:rFonts w:hint="eastAsia" w:ascii="黑体" w:hAnsi="黑体" w:eastAsia="黑体" w:cs="黑体"/>
          <w:b/>
          <w:color w:val="000000"/>
          <w:kern w:val="0"/>
          <w:sz w:val="18"/>
          <w:szCs w:val="18"/>
        </w:rPr>
        <w:t>《制止商品减价销售中不正当价格行为的暂行规定》</w:t>
      </w:r>
      <w:r>
        <w:rPr>
          <w:rFonts w:hint="eastAsia" w:ascii="黑体" w:hAnsi="黑体" w:eastAsia="黑体" w:cs="黑体"/>
          <w:color w:val="000000"/>
          <w:kern w:val="0"/>
          <w:sz w:val="18"/>
          <w:szCs w:val="18"/>
        </w:rPr>
        <w:t>等法律法规。违反上述法律、法规所造成的一切责任和后果，由厂商自行负担，由此给</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网造成的一切损失，</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网有权向厂商追偿。</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（二）厂商保证所出售的商品，在其他电商平台促销时，同款商品在</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网出售的商品价格不高于该厂商在其他平台所售价格。</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（三）厂商保证在</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网事业部或公司级大促的生效起止期限内，厂商在</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网出售的商品价格不高于厂商在其他平台店铺的价格。</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（四）违规处理：每个单品扣2分，</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网有权修改商品价格，情节严重的，限制上架直至终止合作。</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 二十二条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入驻质保金</w:t>
      </w:r>
    </w:p>
    <w:p>
      <w:pPr>
        <w:pStyle w:val="2"/>
        <w:rPr>
          <w:rFonts w:ascii="黑体" w:hAnsi="黑体" w:eastAsia="黑体" w:cs="黑体"/>
          <w:color w:val="000000"/>
          <w:kern w:val="0"/>
          <w:sz w:val="18"/>
          <w:szCs w:val="18"/>
        </w:rPr>
      </w:pPr>
      <w:r>
        <w:rPr>
          <w:rFonts w:hint="eastAsia" w:ascii="黑体" w:hAnsi="黑体" w:eastAsia="黑体" w:cs="黑体"/>
          <w:color w:val="000000"/>
          <w:kern w:val="0"/>
          <w:sz w:val="18"/>
          <w:szCs w:val="18"/>
        </w:rPr>
        <w:t>厂商入驻</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网需要交纳费用，具体按照合同附件《</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厂商资费一览表》进行收费。</w:t>
      </w:r>
    </w:p>
    <w:p>
      <w:pPr>
        <w:pStyle w:val="2"/>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 xml:space="preserve">第二十三条 </w:t>
      </w:r>
      <w:r>
        <w:rPr>
          <w:rFonts w:hint="eastAsia" w:ascii="黑体" w:hAnsi="黑体" w:eastAsia="黑体" w:cs="黑体"/>
          <w:color w:val="000000"/>
          <w:kern w:val="0"/>
          <w:sz w:val="18"/>
          <w:szCs w:val="18"/>
        </w:rPr>
        <w:t>厂商因网上交易产生的所有费用、税费、客诉费等均由厂商自行承担。</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 xml:space="preserve">第二十四条 </w:t>
      </w:r>
      <w:r>
        <w:rPr>
          <w:rFonts w:hint="eastAsia" w:ascii="黑体" w:hAnsi="黑体" w:eastAsia="黑体" w:cs="黑体"/>
          <w:color w:val="000000"/>
          <w:kern w:val="0"/>
          <w:sz w:val="18"/>
          <w:szCs w:val="18"/>
        </w:rPr>
        <w:t>商品销售货款由</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网统一收取。</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网每月按照合同给厂商统一结算，可提现货款必须是交易完成并且没有退货退款处理或已经处理完毕的订单货款。</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第二十五条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结算流程</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（一）结算流程：未结算-&gt;待结算-&gt;结算中-&gt;结算完成</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（二）名词解释：</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1．未结算：可结算，未到结算期。</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2．待结算：可结算，已到结算期，等待</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网财务处理。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3．结算中：</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网财务正在进行汇款结算流程。</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4．结算完成：</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网财务已将款项汇入厂商帐户。</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（三）可进入结算流程的订单：线上缴款订单、自发COD订单，</w:t>
      </w:r>
      <w:r>
        <w:rPr>
          <w:rFonts w:hint="eastAsia" w:ascii="黑体" w:hAnsi="黑体" w:eastAsia="黑体" w:cs="黑体"/>
          <w:b/>
          <w:color w:val="000000"/>
          <w:kern w:val="0"/>
          <w:sz w:val="18"/>
          <w:szCs w:val="18"/>
        </w:rPr>
        <w:t>按发货5天进入结款账期</w:t>
      </w:r>
      <w:r>
        <w:rPr>
          <w:rFonts w:hint="eastAsia" w:ascii="黑体" w:hAnsi="黑体" w:eastAsia="黑体" w:cs="黑体"/>
          <w:color w:val="000000"/>
          <w:kern w:val="0"/>
          <w:sz w:val="18"/>
          <w:szCs w:val="18"/>
        </w:rPr>
        <w:t>；代发COD订单，</w:t>
      </w:r>
      <w:r>
        <w:rPr>
          <w:rFonts w:hint="eastAsia" w:ascii="黑体" w:hAnsi="黑体" w:eastAsia="黑体" w:cs="黑体"/>
          <w:b/>
          <w:color w:val="000000"/>
          <w:kern w:val="0"/>
          <w:sz w:val="18"/>
          <w:szCs w:val="18"/>
        </w:rPr>
        <w:t>按快递系统已送达3天进入结款账期。</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（四）如厂商发生任何违反本规定的违约行为，</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网有权单方暂停、终止或扣减网上货款结算，由此造成的损失完全由厂商承担。</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第二十六条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厂商评估淘汰标准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网按照季度、年度根据厂商评估淘汰标准对厂商进行审核评估，对于未达到评估标准的厂商，</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网有权终止合作协议。</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（一）评估准则：以每年年初公布为准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（二）评估实施：入驻时间不满三个月的厂商不参与评估；入驻时间不满十二个月的厂商不参与年度评估。</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（三）评估执行：及格厂商，</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网可以提出建议，厂商应积极配合进一步提高服务。未及格厂商，</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网有权终止合作协议。</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第二十七条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违背承诺</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（一）定义：</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违背承诺，是指厂商未按照承诺向会员提供以下服务，妨害会员权益的行为，具体行为如下</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网判定厂商确实应该承担退货退款等售后保障责任但厂商拒绝承担的；</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网判定厂商确实应该承担七天无理由退换货、退一赔三、数码维修等售后保障责任但厂商拒绝承担的；</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3．厂商拒绝提供或者拒绝按照承诺的方式提供发票的；</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4．加入货到付款等服务的厂商，但拒绝提供上述服务的；</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5．加入特殊优惠活动的厂商，未按照活动要求提供服务的；</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6．拒绝按照会员购买的价格成交或者拒绝提供承诺服务的；</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7．厂商拒绝按照承诺给</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网、会员提供服务的</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8．厂商未履行其它承诺的</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（二）违规处理：厂商违背以上承诺的，每次扣3分</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第二十八条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线下交易</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（一）定义：</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线下交易是指通过</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网购物平台下订单，不通过</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网支付系统付款的订单，即由会员直接联系厂商进行双方协商购买的交易行为。</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（二）认定：</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网对通过</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网产生的订单实时监控，根据订单实际发生与否确定线下交易行为是否成立。</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（三）违规处理：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厂商违背以上承诺的，每次扣18分（签保底协议的除外）</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（四）赔偿：</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厂商需向</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网缴纳5倍的线下交易订单佣金，作为赔偿</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第二十九条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虚假宣传</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是指商业活动中厂商利用广告或其他宣传方法对商品或者服务发布与实际内容不相符的虚假信息，导致会员产生误解的行为；虚假宣传的，</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网将对厂商采取每次扣12分的处罚，对涉及虚假宣传的商品或信息进行删除，同时因虚假宣传违规损害会员体验的，</w:t>
      </w:r>
      <w:r>
        <w:rPr>
          <w:rFonts w:hint="eastAsia" w:ascii="黑体" w:hAnsi="黑体" w:eastAsia="黑体" w:cs="黑体"/>
          <w:b/>
          <w:color w:val="000000"/>
          <w:kern w:val="0"/>
          <w:sz w:val="18"/>
          <w:szCs w:val="18"/>
        </w:rPr>
        <w:t>厂商需按退一赔三最低500元的标准对会员予以赔付</w:t>
      </w:r>
      <w:r>
        <w:rPr>
          <w:rFonts w:hint="eastAsia" w:ascii="黑体" w:hAnsi="黑体" w:eastAsia="黑体" w:cs="黑体"/>
          <w:color w:val="000000"/>
          <w:kern w:val="0"/>
          <w:sz w:val="18"/>
          <w:szCs w:val="18"/>
        </w:rPr>
        <w:t>；</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第三十条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恶意骚扰会员</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指厂商交易中或交易后采取恶劣手段骚扰会员，妨害他人合法权益的行为。每次扣12分</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第三十一条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泄露他人信息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是指未经允许发布、传递他人隐私信息，涉嫌侵犯他人隐私权的行为。泄露他人信息的，每次扣6分</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第三十二条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盗用他人账户</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指厂商盗用他人</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网账户，涉嫌侵犯他人相关信息、财产权的行为。每次扣48分。</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第三十三条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骗取他人财物</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是指厂商以非法获利为目的，非法获取他人财物，涉嫌侵犯他人财产权的行为。每次扣48分</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第三十四条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不配合</w:t>
      </w:r>
      <w:r>
        <w:rPr>
          <w:rFonts w:hint="eastAsia" w:ascii="黑体" w:hAnsi="黑体" w:eastAsia="黑体" w:cs="黑体"/>
          <w:b/>
          <w:color w:val="000000"/>
          <w:kern w:val="0"/>
          <w:sz w:val="18"/>
          <w:szCs w:val="18"/>
          <w:lang w:eastAsia="zh-CN"/>
        </w:rPr>
        <w:t>熬龙</w:t>
      </w:r>
      <w:r>
        <w:rPr>
          <w:rFonts w:hint="eastAsia" w:ascii="黑体" w:hAnsi="黑体" w:eastAsia="黑体" w:cs="黑体"/>
          <w:b/>
          <w:color w:val="000000"/>
          <w:kern w:val="0"/>
          <w:sz w:val="18"/>
          <w:szCs w:val="18"/>
        </w:rPr>
        <w:t>网管理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是指厂商在日常运营中不配合平台管理的行为。每次扣2分。包括但不限于骚扰、谩骂、恐吓平台工作人员，散播恶意攻击平台的消息等情形；对于不配合</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网管理的厂商，</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网将采取警告公示、商品下架、限制发布商品等违规处理措施。</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第三十五条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税款缴纳</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双方应各自按照有关法律法规和国家政策的规定向有关的税务机关纳税。</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b/>
          <w:color w:val="000000"/>
          <w:kern w:val="0"/>
          <w:sz w:val="18"/>
          <w:szCs w:val="18"/>
        </w:rPr>
      </w:pPr>
      <w:r>
        <w:rPr>
          <w:rFonts w:hint="eastAsia" w:ascii="黑体" w:hAnsi="黑体" w:eastAsia="黑体" w:cs="黑体"/>
          <w:b/>
          <w:color w:val="000000"/>
          <w:kern w:val="0"/>
          <w:sz w:val="18"/>
          <w:szCs w:val="18"/>
        </w:rPr>
        <w:t>第三十六条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保密条款</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（一）任何一方对于因签署或履行本规定而了解或接触到的对方的机密资料和信息（以下简称"保密信息"）均应保密；非经对方书面同意，任何一方不得向第三方泄露、给予或转让该等保密信息。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 如对方提出要求，任何一方均应将载有对方保密信息的任何载体，按对方要求归还对方，或予以销毁，或进行其他处置，并且不得继续使用这些保密信息。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（三）在本规定终止之后，各方在本规定项下的义务并不随之终止，各方仍需遵守本规定之保密条款，履行其所承诺的保密义务，直到其他方同意其解除此义务。</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（四）违规处理：厂商违背以上承诺的，每次扣36分</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第三十七条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利益冲突</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（一）定义：</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1.在本规定有效期内，如有任何</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网或</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网关联企业在职员工成为厂商的股东或者高级管理人员，厂商必须立即书面通知</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网，如厂商故意隐瞒此情况，</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网有权随时提前终止厂商的业务而无需承担任何责任，由此造成的全部损失由厂商自行承担。</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网无需退还厂商已向</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网交纳的所有费用。</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2.厂商不得为牟取不正当利益而对任何</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网或</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网关联企业在职员工有任何贿赂以及恶意投诉恶意诋毁</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网行象的行为，否则</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网有权随时单方提前终止本规定而无需承担任何责任，同时，厂商应赔偿</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网因此遭受的全部损失。</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（二）违规处理：厂商违背以上承诺的，每次扣36分</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b/>
          <w:color w:val="000000"/>
          <w:kern w:val="0"/>
          <w:sz w:val="18"/>
          <w:szCs w:val="18"/>
        </w:rPr>
        <w:t>第三十八条</w:t>
      </w:r>
      <w:r>
        <w:rPr>
          <w:rFonts w:hint="eastAsia" w:ascii="黑体" w:hAnsi="黑体" w:eastAsia="黑体" w:cs="黑体"/>
          <w:color w:val="000000"/>
          <w:kern w:val="0"/>
          <w:sz w:val="18"/>
          <w:szCs w:val="18"/>
        </w:rPr>
        <w:t xml:space="preserve"> </w:t>
      </w:r>
      <w:r>
        <w:rPr>
          <w:rFonts w:hint="eastAsia" w:ascii="黑体" w:hAnsi="黑体" w:eastAsia="黑体" w:cs="黑体"/>
          <w:b/>
          <w:color w:val="000000"/>
          <w:kern w:val="0"/>
          <w:sz w:val="18"/>
          <w:szCs w:val="18"/>
        </w:rPr>
        <w:t>恶意竞争</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（一）定义和认定：</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1．仅以低价格展示商品，却对会员的订单采取无货处理；或低价展示的商品无关配件无法使用的恶意行为；</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2．厂商恶意侵占其他厂商库存，恶意差评等</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网认定的恶意行为；</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（二）违规处理：厂商违背以上承诺的，每次扣6分</w:t>
      </w:r>
    </w:p>
    <w:p>
      <w:pPr>
        <w:rPr>
          <w:rFonts w:hint="eastAsia"/>
        </w:rPr>
      </w:pPr>
    </w:p>
    <w:p>
      <w:pPr>
        <w:pStyle w:val="6"/>
        <w:widowControl/>
        <w:spacing w:beforeAutospacing="0" w:after="150" w:afterAutospacing="0" w:line="480" w:lineRule="atLeast"/>
        <w:rPr>
          <w:rFonts w:ascii="黑体" w:hAnsi="黑体" w:eastAsia="黑体" w:cs="黑体"/>
          <w:b/>
          <w:sz w:val="21"/>
          <w:szCs w:val="21"/>
        </w:rPr>
      </w:pPr>
      <w:r>
        <w:rPr>
          <w:rFonts w:hint="eastAsia" w:ascii="黑体" w:hAnsi="黑体" w:eastAsia="黑体" w:cs="黑体"/>
          <w:b/>
          <w:color w:val="3B3B3B"/>
          <w:sz w:val="21"/>
          <w:szCs w:val="21"/>
        </w:rPr>
        <w:t>附录</w:t>
      </w:r>
    </w:p>
    <w:p>
      <w:pPr>
        <w:pStyle w:val="6"/>
        <w:widowControl/>
        <w:spacing w:beforeAutospacing="0" w:after="150" w:afterAutospacing="0" w:line="315" w:lineRule="atLeast"/>
        <w:rPr>
          <w:rFonts w:ascii="黑体" w:hAnsi="黑体" w:eastAsia="黑体" w:cs="黑体"/>
          <w:b/>
          <w:sz w:val="18"/>
          <w:szCs w:val="18"/>
        </w:rPr>
      </w:pPr>
      <w:r>
        <w:rPr>
          <w:rFonts w:hint="eastAsia" w:ascii="黑体" w:hAnsi="黑体" w:eastAsia="黑体" w:cs="黑体"/>
          <w:b/>
          <w:color w:val="404040"/>
          <w:sz w:val="18"/>
          <w:szCs w:val="18"/>
        </w:rPr>
        <w:t>附录（1）：违规厂商处罚规定（一览表）：</w:t>
      </w:r>
    </w:p>
    <w:tbl>
      <w:tblPr>
        <w:tblStyle w:val="10"/>
        <w:tblW w:w="9191" w:type="dxa"/>
        <w:tblCellSpacing w:w="0" w:type="dxa"/>
        <w:tblInd w:w="15" w:type="dxa"/>
        <w:tblLayout w:type="fixed"/>
        <w:tblCellMar>
          <w:top w:w="0" w:type="dxa"/>
          <w:left w:w="0" w:type="dxa"/>
          <w:bottom w:w="0" w:type="dxa"/>
          <w:right w:w="0" w:type="dxa"/>
        </w:tblCellMar>
      </w:tblPr>
      <w:tblGrid>
        <w:gridCol w:w="1035"/>
        <w:gridCol w:w="3677"/>
        <w:gridCol w:w="3301"/>
        <w:gridCol w:w="1178"/>
      </w:tblGrid>
      <w:tr>
        <w:tblPrEx>
          <w:tblLayout w:type="fixed"/>
          <w:tblCellMar>
            <w:top w:w="0" w:type="dxa"/>
            <w:left w:w="0" w:type="dxa"/>
            <w:bottom w:w="0" w:type="dxa"/>
            <w:right w:w="0" w:type="dxa"/>
          </w:tblCellMar>
        </w:tblPrEx>
        <w:trPr>
          <w:trHeight w:val="301" w:hRule="atLeast"/>
          <w:tblCellSpacing w:w="0" w:type="dxa"/>
        </w:trPr>
        <w:tc>
          <w:tcPr>
            <w:tcW w:w="1035" w:type="dxa"/>
            <w:tcBorders>
              <w:top w:val="single" w:color="000000" w:sz="6" w:space="0"/>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序号</w:t>
            </w:r>
          </w:p>
        </w:tc>
        <w:tc>
          <w:tcPr>
            <w:tcW w:w="3677" w:type="dxa"/>
            <w:tcBorders>
              <w:top w:val="single" w:color="000000" w:sz="6" w:space="0"/>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违规行为说明</w:t>
            </w:r>
          </w:p>
        </w:tc>
        <w:tc>
          <w:tcPr>
            <w:tcW w:w="3301" w:type="dxa"/>
            <w:tcBorders>
              <w:top w:val="single" w:color="000000" w:sz="6" w:space="0"/>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扣分/处罚</w:t>
            </w:r>
          </w:p>
        </w:tc>
        <w:tc>
          <w:tcPr>
            <w:tcW w:w="1178" w:type="dxa"/>
            <w:tcBorders>
              <w:top w:val="single" w:color="000000" w:sz="6" w:space="0"/>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违规类型</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1</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第六条 发布违禁信息（一）</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48分/次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严重违规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2</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第七条 发布违禁信息（二）</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24分/次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严重违规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4</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第八条 页面信息描述与实际描述不符</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根据违规条例，下架商品</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r>
        <w:tblPrEx>
          <w:tblLayout w:type="fixed"/>
          <w:tblCellMar>
            <w:top w:w="0" w:type="dxa"/>
            <w:left w:w="0" w:type="dxa"/>
            <w:bottom w:w="0" w:type="dxa"/>
            <w:right w:w="0" w:type="dxa"/>
          </w:tblCellMar>
        </w:tblPrEx>
        <w:trPr>
          <w:trHeight w:val="301" w:hRule="atLeast"/>
          <w:tblCellSpacing w:w="0" w:type="dxa"/>
        </w:trPr>
        <w:tc>
          <w:tcPr>
            <w:tcW w:w="1035" w:type="dxa"/>
            <w:vMerge w:val="restart"/>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5</w:t>
            </w:r>
          </w:p>
        </w:tc>
        <w:tc>
          <w:tcPr>
            <w:tcW w:w="3677" w:type="dxa"/>
            <w:vMerge w:val="restart"/>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第九条 滥发信息</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1分，三分/次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严重违规</w:t>
            </w:r>
          </w:p>
        </w:tc>
      </w:tr>
      <w:tr>
        <w:tblPrEx>
          <w:tblLayout w:type="fixed"/>
          <w:tblCellMar>
            <w:top w:w="0" w:type="dxa"/>
            <w:left w:w="0" w:type="dxa"/>
            <w:bottom w:w="0" w:type="dxa"/>
            <w:right w:w="0" w:type="dxa"/>
          </w:tblCellMar>
        </w:tblPrEx>
        <w:trPr>
          <w:trHeight w:val="301" w:hRule="atLeast"/>
          <w:tblCellSpacing w:w="0" w:type="dxa"/>
        </w:trPr>
        <w:tc>
          <w:tcPr>
            <w:tcW w:w="1035" w:type="dxa"/>
            <w:vMerge w:val="continue"/>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rPr>
                <w:rFonts w:ascii="黑体" w:hAnsi="黑体" w:eastAsia="黑体" w:cs="黑体"/>
                <w:sz w:val="24"/>
              </w:rPr>
            </w:pPr>
          </w:p>
        </w:tc>
        <w:tc>
          <w:tcPr>
            <w:tcW w:w="3677" w:type="dxa"/>
            <w:vMerge w:val="continue"/>
            <w:tcBorders>
              <w:top w:val="nil"/>
              <w:left w:val="nil"/>
              <w:bottom w:val="single" w:color="000000" w:sz="6" w:space="0"/>
              <w:right w:val="single" w:color="000000" w:sz="6" w:space="0"/>
            </w:tcBorders>
            <w:shd w:val="clear" w:color="auto" w:fill="auto"/>
            <w:tcMar>
              <w:left w:w="105" w:type="dxa"/>
              <w:right w:w="105" w:type="dxa"/>
            </w:tcMar>
            <w:vAlign w:val="center"/>
          </w:tcPr>
          <w:p>
            <w:pPr>
              <w:rPr>
                <w:rFonts w:ascii="黑体" w:hAnsi="黑体" w:eastAsia="黑体" w:cs="黑体"/>
                <w:sz w:val="24"/>
              </w:rPr>
            </w:pP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商品金额三倍最低500/次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严重违规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6</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第十条 经营范围规定</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12分/次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r>
        <w:tblPrEx>
          <w:tblLayout w:type="fixed"/>
          <w:tblCellMar>
            <w:top w:w="0" w:type="dxa"/>
            <w:left w:w="0" w:type="dxa"/>
            <w:bottom w:w="0" w:type="dxa"/>
            <w:right w:w="0" w:type="dxa"/>
          </w:tblCellMar>
        </w:tblPrEx>
        <w:trPr>
          <w:trHeight w:val="301" w:hRule="atLeast"/>
          <w:tblCellSpacing w:w="0" w:type="dxa"/>
        </w:trPr>
        <w:tc>
          <w:tcPr>
            <w:tcW w:w="1035" w:type="dxa"/>
            <w:vMerge w:val="restart"/>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7</w:t>
            </w:r>
          </w:p>
        </w:tc>
        <w:tc>
          <w:tcPr>
            <w:tcW w:w="3677" w:type="dxa"/>
            <w:vMerge w:val="restart"/>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第十一条 虚假交易</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6分/次</w:t>
            </w:r>
          </w:p>
        </w:tc>
        <w:tc>
          <w:tcPr>
            <w:tcW w:w="1178" w:type="dxa"/>
            <w:vMerge w:val="restart"/>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r>
        <w:tblPrEx>
          <w:tblLayout w:type="fixed"/>
          <w:tblCellMar>
            <w:top w:w="0" w:type="dxa"/>
            <w:left w:w="0" w:type="dxa"/>
            <w:bottom w:w="0" w:type="dxa"/>
            <w:right w:w="0" w:type="dxa"/>
          </w:tblCellMar>
        </w:tblPrEx>
        <w:trPr>
          <w:trHeight w:val="480" w:hRule="atLeast"/>
          <w:tblCellSpacing w:w="0" w:type="dxa"/>
        </w:trPr>
        <w:tc>
          <w:tcPr>
            <w:tcW w:w="1035" w:type="dxa"/>
            <w:vMerge w:val="continue"/>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rPr>
                <w:rFonts w:ascii="黑体" w:hAnsi="黑体" w:eastAsia="黑体" w:cs="黑体"/>
                <w:sz w:val="24"/>
              </w:rPr>
            </w:pPr>
          </w:p>
        </w:tc>
        <w:tc>
          <w:tcPr>
            <w:tcW w:w="3677" w:type="dxa"/>
            <w:vMerge w:val="continue"/>
            <w:tcBorders>
              <w:top w:val="nil"/>
              <w:left w:val="nil"/>
              <w:bottom w:val="single" w:color="000000" w:sz="6" w:space="0"/>
              <w:right w:val="single" w:color="000000" w:sz="6" w:space="0"/>
            </w:tcBorders>
            <w:shd w:val="clear" w:color="auto" w:fill="auto"/>
            <w:tcMar>
              <w:left w:w="105" w:type="dxa"/>
              <w:right w:w="105" w:type="dxa"/>
            </w:tcMar>
            <w:vAlign w:val="center"/>
          </w:tcPr>
          <w:p>
            <w:pPr>
              <w:rPr>
                <w:rFonts w:ascii="黑体" w:hAnsi="黑体" w:eastAsia="黑体" w:cs="黑体"/>
                <w:sz w:val="24"/>
              </w:rPr>
            </w:pP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同时</w:t>
            </w:r>
            <w:r>
              <w:rPr>
                <w:rFonts w:hint="eastAsia" w:ascii="黑体" w:hAnsi="黑体" w:eastAsia="黑体" w:cs="黑体"/>
                <w:color w:val="404040"/>
                <w:sz w:val="18"/>
                <w:szCs w:val="18"/>
                <w:lang w:eastAsia="zh-CN"/>
              </w:rPr>
              <w:t>熬龙</w:t>
            </w:r>
            <w:r>
              <w:rPr>
                <w:rFonts w:hint="eastAsia" w:ascii="黑体" w:hAnsi="黑体" w:eastAsia="黑体" w:cs="黑体"/>
                <w:color w:val="404040"/>
                <w:sz w:val="18"/>
                <w:szCs w:val="18"/>
              </w:rPr>
              <w:t>网会根据违规行为的严重程度采取限制经营和支付违约金</w:t>
            </w:r>
          </w:p>
        </w:tc>
        <w:tc>
          <w:tcPr>
            <w:tcW w:w="1178" w:type="dxa"/>
            <w:vMerge w:val="continue"/>
            <w:tcBorders>
              <w:top w:val="nil"/>
              <w:left w:val="nil"/>
              <w:bottom w:val="single" w:color="000000" w:sz="6" w:space="0"/>
              <w:right w:val="single" w:color="000000" w:sz="6" w:space="0"/>
            </w:tcBorders>
            <w:shd w:val="clear" w:color="auto" w:fill="auto"/>
            <w:tcMar>
              <w:left w:w="105" w:type="dxa"/>
              <w:right w:w="105" w:type="dxa"/>
            </w:tcMar>
            <w:vAlign w:val="center"/>
          </w:tcPr>
          <w:p>
            <w:pPr>
              <w:rPr>
                <w:rFonts w:ascii="黑体" w:hAnsi="黑体" w:eastAsia="黑体" w:cs="黑体"/>
                <w:sz w:val="24"/>
              </w:rPr>
            </w:pP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8</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第十二条</w:t>
            </w:r>
            <w:r>
              <w:rPr>
                <w:rFonts w:hint="eastAsia" w:asciiTheme="minorEastAsia" w:hAnsiTheme="minorEastAsia" w:cstheme="minorEastAsia"/>
                <w:color w:val="404040"/>
                <w:sz w:val="18"/>
                <w:szCs w:val="18"/>
              </w:rPr>
              <w:t xml:space="preserve"> </w:t>
            </w:r>
            <w:r>
              <w:rPr>
                <w:rFonts w:hint="eastAsia" w:ascii="黑体" w:hAnsi="黑体" w:eastAsia="黑体" w:cs="黑体"/>
                <w:color w:val="404040"/>
                <w:sz w:val="18"/>
                <w:szCs w:val="18"/>
              </w:rPr>
              <w:t>出售未经报关进口商品</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48分/次，支付违约金10万元或全部金额</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严重违规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9</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第十三条 出售假冒伪劣商品</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48分/次，清退店铺</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严重违规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10</w:t>
            </w:r>
          </w:p>
        </w:tc>
        <w:tc>
          <w:tcPr>
            <w:tcW w:w="3677" w:type="dxa"/>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第十四条 申请取消订单未告知</w:t>
            </w:r>
          </w:p>
        </w:tc>
        <w:tc>
          <w:tcPr>
            <w:tcW w:w="3301"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r>
        <w:tblPrEx>
          <w:tblLayout w:type="fixed"/>
          <w:tblCellMar>
            <w:top w:w="0" w:type="dxa"/>
            <w:left w:w="0" w:type="dxa"/>
            <w:bottom w:w="0" w:type="dxa"/>
            <w:right w:w="0" w:type="dxa"/>
          </w:tblCellMar>
        </w:tblPrEx>
        <w:trPr>
          <w:trHeight w:val="510"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11</w:t>
            </w:r>
          </w:p>
        </w:tc>
        <w:tc>
          <w:tcPr>
            <w:tcW w:w="3677" w:type="dxa"/>
            <w:tcBorders>
              <w:top w:val="single" w:color="000000" w:sz="6" w:space="0"/>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第十五条 发货管理</w:t>
            </w:r>
          </w:p>
        </w:tc>
        <w:tc>
          <w:tcPr>
            <w:tcW w:w="3301" w:type="dxa"/>
            <w:tcBorders>
              <w:top w:val="nil"/>
              <w:left w:val="nil"/>
              <w:bottom w:val="single" w:color="000000" w:sz="6" w:space="0"/>
              <w:right w:val="single" w:color="000000" w:sz="6" w:space="0"/>
            </w:tcBorders>
            <w:shd w:val="clear" w:color="auto" w:fill="auto"/>
            <w:tcMar>
              <w:left w:w="105" w:type="dxa"/>
              <w:right w:w="105" w:type="dxa"/>
            </w:tcMa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发货包装中有其他平台的店铺信息及与该店铺商品无关的信息，每次扣1分/次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12</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第十六条 退换货及退款审核管理规定</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1分/次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r>
        <w:tblPrEx>
          <w:tblLayout w:type="fixed"/>
          <w:tblCellMar>
            <w:top w:w="0" w:type="dxa"/>
            <w:left w:w="0" w:type="dxa"/>
            <w:bottom w:w="0" w:type="dxa"/>
            <w:right w:w="0" w:type="dxa"/>
          </w:tblCellMar>
        </w:tblPrEx>
        <w:trPr>
          <w:trHeight w:val="705"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13</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第十九条 发票管理</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1分/次，拒绝开发票</w:t>
            </w:r>
            <w:r>
              <w:rPr>
                <w:rFonts w:ascii="黑体" w:hAnsi="黑体" w:eastAsia="黑体" w:cs="黑体"/>
                <w:color w:val="FF0000"/>
                <w:sz w:val="18"/>
                <w:szCs w:val="18"/>
              </w:rPr>
              <w:t>3</w:t>
            </w:r>
            <w:r>
              <w:rPr>
                <w:rFonts w:hint="eastAsia" w:ascii="黑体" w:hAnsi="黑体" w:eastAsia="黑体" w:cs="黑体"/>
                <w:color w:val="FF0000"/>
                <w:sz w:val="18"/>
                <w:szCs w:val="18"/>
              </w:rPr>
              <w:t>分/单</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14</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第二十条 促销管理</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1分/次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15</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第二十一条 商品价格</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2分/品</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16</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第二十七条 违背承诺</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3分/次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17</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第二十八条 线下交易</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18分/次，5倍的线下交易订单佣金</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18</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第二十九条 虚假宣传</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每次扣12分，对商品或信息进行除</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严重违规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19</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第三十条 恶意骚扰会员</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12分/次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20</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第三十一条 泄露他人信息</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6分/次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严重违规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21</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第三十二条 盗用他人账户</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48分/次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严重违规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22</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第三十三条 骗取他人财物</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48分/次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严重违规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23</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第三十四条 不配合平台管理</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2分/次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24</w:t>
            </w:r>
          </w:p>
        </w:tc>
        <w:tc>
          <w:tcPr>
            <w:tcW w:w="3677" w:type="dxa"/>
            <w:tcBorders>
              <w:top w:val="nil"/>
              <w:left w:val="nil"/>
              <w:bottom w:val="nil"/>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第三十六条 保密条款</w:t>
            </w:r>
          </w:p>
        </w:tc>
        <w:tc>
          <w:tcPr>
            <w:tcW w:w="3301" w:type="dxa"/>
            <w:tcBorders>
              <w:top w:val="nil"/>
              <w:left w:val="nil"/>
              <w:bottom w:val="nil"/>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36分/次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严重违规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25</w:t>
            </w:r>
          </w:p>
        </w:tc>
        <w:tc>
          <w:tcPr>
            <w:tcW w:w="3677" w:type="dxa"/>
            <w:tcBorders>
              <w:top w:val="single" w:color="000000" w:sz="6" w:space="0"/>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第三十七条 利益冲突</w:t>
            </w:r>
          </w:p>
        </w:tc>
        <w:tc>
          <w:tcPr>
            <w:tcW w:w="3301" w:type="dxa"/>
            <w:tcBorders>
              <w:top w:val="single" w:color="000000" w:sz="6" w:space="0"/>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36分/次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严重违规</w:t>
            </w:r>
          </w:p>
        </w:tc>
      </w:tr>
      <w:tr>
        <w:tblPrEx>
          <w:tblLayout w:type="fixed"/>
          <w:tblCellMar>
            <w:top w:w="0" w:type="dxa"/>
            <w:left w:w="0" w:type="dxa"/>
            <w:bottom w:w="0" w:type="dxa"/>
            <w:right w:w="0" w:type="dxa"/>
          </w:tblCellMar>
        </w:tblPrEx>
        <w:trPr>
          <w:trHeight w:val="301" w:hRule="atLeast"/>
          <w:tblCellSpacing w:w="0" w:type="dxa"/>
        </w:trPr>
        <w:tc>
          <w:tcPr>
            <w:tcW w:w="1035"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26</w:t>
            </w:r>
          </w:p>
        </w:tc>
        <w:tc>
          <w:tcPr>
            <w:tcW w:w="3677"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第三十八条 恶意竞争</w:t>
            </w:r>
          </w:p>
        </w:tc>
        <w:tc>
          <w:tcPr>
            <w:tcW w:w="3301"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color w:val="404040"/>
                <w:sz w:val="18"/>
                <w:szCs w:val="18"/>
              </w:rPr>
              <w:t>6分/次</w:t>
            </w:r>
          </w:p>
        </w:tc>
        <w:tc>
          <w:tcPr>
            <w:tcW w:w="1178"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color w:val="404040"/>
                <w:sz w:val="18"/>
                <w:szCs w:val="18"/>
              </w:rPr>
              <w:t>一般违规</w:t>
            </w:r>
          </w:p>
        </w:tc>
      </w:tr>
    </w:tbl>
    <w:p>
      <w:pPr>
        <w:rPr>
          <w:rFonts w:ascii="黑体" w:hAnsi="黑体" w:eastAsia="黑体" w:cs="黑体"/>
          <w:vanish/>
          <w:sz w:val="24"/>
        </w:rPr>
      </w:pPr>
    </w:p>
    <w:tbl>
      <w:tblPr>
        <w:tblStyle w:val="10"/>
        <w:tblW w:w="9191" w:type="dxa"/>
        <w:tblCellSpacing w:w="0" w:type="dxa"/>
        <w:tblInd w:w="15" w:type="dxa"/>
        <w:tblLayout w:type="fixed"/>
        <w:tblCellMar>
          <w:top w:w="0" w:type="dxa"/>
          <w:left w:w="0" w:type="dxa"/>
          <w:bottom w:w="0" w:type="dxa"/>
          <w:right w:w="0" w:type="dxa"/>
        </w:tblCellMar>
      </w:tblPr>
      <w:tblGrid>
        <w:gridCol w:w="1703"/>
        <w:gridCol w:w="1703"/>
        <w:gridCol w:w="1703"/>
        <w:gridCol w:w="1703"/>
        <w:gridCol w:w="2379"/>
      </w:tblGrid>
      <w:tr>
        <w:tblPrEx>
          <w:tblLayout w:type="fixed"/>
          <w:tblCellMar>
            <w:top w:w="0" w:type="dxa"/>
            <w:left w:w="0" w:type="dxa"/>
            <w:bottom w:w="0" w:type="dxa"/>
            <w:right w:w="0" w:type="dxa"/>
          </w:tblCellMar>
        </w:tblPrEx>
        <w:trPr>
          <w:trHeight w:val="660" w:hRule="atLeast"/>
          <w:tblCellSpacing w:w="0" w:type="dxa"/>
        </w:trPr>
        <w:tc>
          <w:tcPr>
            <w:tcW w:w="1703" w:type="dxa"/>
            <w:tcBorders>
              <w:top w:val="single" w:color="000000" w:sz="6" w:space="0"/>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违规类型</w:t>
            </w:r>
          </w:p>
        </w:tc>
        <w:tc>
          <w:tcPr>
            <w:tcW w:w="1703" w:type="dxa"/>
            <w:tcBorders>
              <w:top w:val="single" w:color="000000" w:sz="6" w:space="0"/>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扣分节点</w:t>
            </w:r>
          </w:p>
        </w:tc>
        <w:tc>
          <w:tcPr>
            <w:tcW w:w="1703" w:type="dxa"/>
            <w:tcBorders>
              <w:top w:val="single" w:color="000000" w:sz="6" w:space="0"/>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关闭店铺</w:t>
            </w:r>
          </w:p>
        </w:tc>
        <w:tc>
          <w:tcPr>
            <w:tcW w:w="1703" w:type="dxa"/>
            <w:tcBorders>
              <w:top w:val="single" w:color="000000" w:sz="6" w:space="0"/>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下架所有商品</w:t>
            </w:r>
          </w:p>
        </w:tc>
        <w:tc>
          <w:tcPr>
            <w:tcW w:w="2379" w:type="dxa"/>
            <w:tcBorders>
              <w:top w:val="single" w:color="000000" w:sz="6" w:space="0"/>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支付违约金</w:t>
            </w:r>
          </w:p>
        </w:tc>
      </w:tr>
      <w:tr>
        <w:tblPrEx>
          <w:tblLayout w:type="fixed"/>
          <w:tblCellMar>
            <w:top w:w="0" w:type="dxa"/>
            <w:left w:w="0" w:type="dxa"/>
            <w:bottom w:w="0" w:type="dxa"/>
            <w:right w:w="0" w:type="dxa"/>
          </w:tblCellMar>
        </w:tblPrEx>
        <w:trPr>
          <w:trHeight w:val="330" w:hRule="atLeast"/>
          <w:tblCellSpacing w:w="0" w:type="dxa"/>
        </w:trPr>
        <w:tc>
          <w:tcPr>
            <w:tcW w:w="1703" w:type="dxa"/>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一般违规</w:t>
            </w:r>
          </w:p>
        </w:tc>
        <w:tc>
          <w:tcPr>
            <w:tcW w:w="1703"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12分</w:t>
            </w:r>
          </w:p>
        </w:tc>
        <w:tc>
          <w:tcPr>
            <w:tcW w:w="1703"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w:t>
            </w:r>
          </w:p>
        </w:tc>
        <w:tc>
          <w:tcPr>
            <w:tcW w:w="1703"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w:t>
            </w:r>
          </w:p>
        </w:tc>
        <w:tc>
          <w:tcPr>
            <w:tcW w:w="2379"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1万元</w:t>
            </w:r>
          </w:p>
        </w:tc>
      </w:tr>
      <w:tr>
        <w:tblPrEx>
          <w:tblLayout w:type="fixed"/>
          <w:tblCellMar>
            <w:top w:w="0" w:type="dxa"/>
            <w:left w:w="0" w:type="dxa"/>
            <w:bottom w:w="0" w:type="dxa"/>
            <w:right w:w="0" w:type="dxa"/>
          </w:tblCellMar>
        </w:tblPrEx>
        <w:trPr>
          <w:trHeight w:val="330" w:hRule="atLeast"/>
          <w:tblCellSpacing w:w="0" w:type="dxa"/>
        </w:trPr>
        <w:tc>
          <w:tcPr>
            <w:tcW w:w="1703" w:type="dxa"/>
            <w:vMerge w:val="restart"/>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严重违规</w:t>
            </w:r>
          </w:p>
        </w:tc>
        <w:tc>
          <w:tcPr>
            <w:tcW w:w="1703"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12分</w:t>
            </w:r>
          </w:p>
        </w:tc>
        <w:tc>
          <w:tcPr>
            <w:tcW w:w="1703"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w:t>
            </w:r>
          </w:p>
        </w:tc>
        <w:tc>
          <w:tcPr>
            <w:tcW w:w="1703"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w:t>
            </w:r>
          </w:p>
        </w:tc>
        <w:tc>
          <w:tcPr>
            <w:tcW w:w="2379"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2万元</w:t>
            </w:r>
          </w:p>
        </w:tc>
      </w:tr>
      <w:tr>
        <w:tblPrEx>
          <w:tblLayout w:type="fixed"/>
          <w:tblCellMar>
            <w:top w:w="0" w:type="dxa"/>
            <w:left w:w="0" w:type="dxa"/>
            <w:bottom w:w="0" w:type="dxa"/>
            <w:right w:w="0" w:type="dxa"/>
          </w:tblCellMar>
        </w:tblPrEx>
        <w:trPr>
          <w:trHeight w:val="330" w:hRule="atLeast"/>
          <w:tblCellSpacing w:w="0" w:type="dxa"/>
        </w:trPr>
        <w:tc>
          <w:tcPr>
            <w:tcW w:w="1703" w:type="dxa"/>
            <w:vMerge w:val="continue"/>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rPr>
                <w:rFonts w:ascii="黑体" w:hAnsi="黑体" w:eastAsia="黑体" w:cs="黑体"/>
                <w:sz w:val="24"/>
              </w:rPr>
            </w:pPr>
          </w:p>
        </w:tc>
        <w:tc>
          <w:tcPr>
            <w:tcW w:w="1703"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24分</w:t>
            </w:r>
          </w:p>
        </w:tc>
        <w:tc>
          <w:tcPr>
            <w:tcW w:w="1703"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w:t>
            </w:r>
          </w:p>
        </w:tc>
        <w:tc>
          <w:tcPr>
            <w:tcW w:w="1703"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w:t>
            </w:r>
          </w:p>
        </w:tc>
        <w:tc>
          <w:tcPr>
            <w:tcW w:w="2379"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3万元</w:t>
            </w:r>
          </w:p>
        </w:tc>
      </w:tr>
      <w:tr>
        <w:tblPrEx>
          <w:tblLayout w:type="fixed"/>
          <w:tblCellMar>
            <w:top w:w="0" w:type="dxa"/>
            <w:left w:w="0" w:type="dxa"/>
            <w:bottom w:w="0" w:type="dxa"/>
            <w:right w:w="0" w:type="dxa"/>
          </w:tblCellMar>
        </w:tblPrEx>
        <w:trPr>
          <w:trHeight w:val="330" w:hRule="atLeast"/>
          <w:tblCellSpacing w:w="0" w:type="dxa"/>
        </w:trPr>
        <w:tc>
          <w:tcPr>
            <w:tcW w:w="1703" w:type="dxa"/>
            <w:vMerge w:val="continue"/>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rPr>
                <w:rFonts w:ascii="黑体" w:hAnsi="黑体" w:eastAsia="黑体" w:cs="黑体"/>
                <w:sz w:val="24"/>
              </w:rPr>
            </w:pPr>
          </w:p>
        </w:tc>
        <w:tc>
          <w:tcPr>
            <w:tcW w:w="1703"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36分</w:t>
            </w:r>
          </w:p>
        </w:tc>
        <w:tc>
          <w:tcPr>
            <w:tcW w:w="1703"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21天</w:t>
            </w:r>
          </w:p>
        </w:tc>
        <w:tc>
          <w:tcPr>
            <w:tcW w:w="1703"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w:t>
            </w:r>
          </w:p>
        </w:tc>
        <w:tc>
          <w:tcPr>
            <w:tcW w:w="2379"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4万元</w:t>
            </w:r>
          </w:p>
        </w:tc>
      </w:tr>
      <w:tr>
        <w:tblPrEx>
          <w:tblLayout w:type="fixed"/>
          <w:tblCellMar>
            <w:top w:w="0" w:type="dxa"/>
            <w:left w:w="0" w:type="dxa"/>
            <w:bottom w:w="0" w:type="dxa"/>
            <w:right w:w="0" w:type="dxa"/>
          </w:tblCellMar>
        </w:tblPrEx>
        <w:trPr>
          <w:trHeight w:val="1516" w:hRule="atLeast"/>
          <w:tblCellSpacing w:w="0" w:type="dxa"/>
        </w:trPr>
        <w:tc>
          <w:tcPr>
            <w:tcW w:w="1703" w:type="dxa"/>
            <w:vMerge w:val="continue"/>
            <w:tcBorders>
              <w:top w:val="nil"/>
              <w:left w:val="single" w:color="000000" w:sz="6" w:space="0"/>
              <w:bottom w:val="single" w:color="000000" w:sz="6" w:space="0"/>
              <w:right w:val="single" w:color="000000" w:sz="6" w:space="0"/>
            </w:tcBorders>
            <w:shd w:val="clear" w:color="auto" w:fill="auto"/>
            <w:tcMar>
              <w:left w:w="105" w:type="dxa"/>
              <w:right w:w="105" w:type="dxa"/>
            </w:tcMar>
            <w:vAlign w:val="center"/>
          </w:tcPr>
          <w:p>
            <w:pPr>
              <w:rPr>
                <w:rFonts w:ascii="黑体" w:hAnsi="黑体" w:eastAsia="黑体" w:cs="黑体"/>
                <w:sz w:val="24"/>
              </w:rPr>
            </w:pPr>
          </w:p>
        </w:tc>
        <w:tc>
          <w:tcPr>
            <w:tcW w:w="1703"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48分</w:t>
            </w:r>
          </w:p>
        </w:tc>
        <w:tc>
          <w:tcPr>
            <w:tcW w:w="3406" w:type="dxa"/>
            <w:gridSpan w:val="2"/>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jc w:val="center"/>
              <w:rPr>
                <w:rFonts w:ascii="黑体" w:hAnsi="黑体" w:eastAsia="黑体" w:cs="黑体"/>
                <w:sz w:val="18"/>
                <w:szCs w:val="18"/>
              </w:rPr>
            </w:pPr>
            <w:r>
              <w:rPr>
                <w:rFonts w:hint="eastAsia" w:ascii="黑体" w:hAnsi="黑体" w:eastAsia="黑体" w:cs="黑体"/>
                <w:sz w:val="18"/>
                <w:szCs w:val="18"/>
              </w:rPr>
              <w:t>清退</w:t>
            </w:r>
          </w:p>
        </w:tc>
        <w:tc>
          <w:tcPr>
            <w:tcW w:w="2379" w:type="dxa"/>
            <w:tcBorders>
              <w:top w:val="nil"/>
              <w:left w:val="nil"/>
              <w:bottom w:val="single" w:color="000000" w:sz="6" w:space="0"/>
              <w:right w:val="single" w:color="000000" w:sz="6" w:space="0"/>
            </w:tcBorders>
            <w:shd w:val="clear" w:color="auto" w:fill="auto"/>
            <w:tcMar>
              <w:left w:w="105" w:type="dxa"/>
              <w:right w:w="105" w:type="dxa"/>
            </w:tcMar>
            <w:vAlign w:val="center"/>
          </w:tcPr>
          <w:p>
            <w:pPr>
              <w:pStyle w:val="6"/>
              <w:widowControl/>
              <w:spacing w:beforeAutospacing="0" w:afterAutospacing="0"/>
              <w:rPr>
                <w:rFonts w:ascii="黑体" w:hAnsi="黑体" w:eastAsia="黑体" w:cs="黑体"/>
                <w:sz w:val="18"/>
                <w:szCs w:val="18"/>
              </w:rPr>
            </w:pPr>
            <w:r>
              <w:rPr>
                <w:rFonts w:hint="eastAsia" w:ascii="黑体" w:hAnsi="黑体" w:eastAsia="黑体" w:cs="黑体"/>
                <w:sz w:val="18"/>
                <w:szCs w:val="18"/>
              </w:rPr>
              <w:t>向</w:t>
            </w:r>
            <w:r>
              <w:rPr>
                <w:rFonts w:hint="eastAsia" w:ascii="黑体" w:hAnsi="黑体" w:eastAsia="黑体" w:cs="黑体"/>
                <w:sz w:val="18"/>
                <w:szCs w:val="18"/>
                <w:lang w:eastAsia="zh-CN"/>
              </w:rPr>
              <w:t>熬龙</w:t>
            </w:r>
            <w:r>
              <w:rPr>
                <w:rFonts w:hint="eastAsia" w:ascii="黑体" w:hAnsi="黑体" w:eastAsia="黑体" w:cs="黑体"/>
                <w:sz w:val="18"/>
                <w:szCs w:val="18"/>
              </w:rPr>
              <w:t>支付违约金10万元或全部金额（两者以较高的为准）</w:t>
            </w:r>
          </w:p>
        </w:tc>
      </w:tr>
    </w:tbl>
    <w:p>
      <w:pPr>
        <w:rPr>
          <w:rFonts w:ascii="黑体" w:hAnsi="黑体" w:eastAsia="黑体" w:cs="黑体"/>
        </w:rPr>
      </w:pPr>
    </w:p>
    <w:p>
      <w:pPr>
        <w:pStyle w:val="6"/>
        <w:widowControl/>
        <w:spacing w:beforeAutospacing="0" w:after="150" w:afterAutospacing="0" w:line="315" w:lineRule="atLeast"/>
        <w:rPr>
          <w:rFonts w:ascii="黑体" w:hAnsi="黑体" w:eastAsia="黑体" w:cs="黑体"/>
          <w:b/>
          <w:color w:val="404040"/>
          <w:sz w:val="18"/>
          <w:szCs w:val="18"/>
        </w:rPr>
      </w:pPr>
      <w:r>
        <w:rPr>
          <w:rFonts w:hint="eastAsia" w:ascii="黑体" w:hAnsi="黑体" w:eastAsia="黑体" w:cs="黑体"/>
          <w:b/>
          <w:color w:val="404040"/>
          <w:sz w:val="18"/>
          <w:szCs w:val="18"/>
        </w:rPr>
        <w:t>附录（2）申请取消订单标准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一、厂商申请取消订单标准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申请取消的订单应满足以下条件：</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1、每张订单只可申请一次取消</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2、申请前需与会员达成一致，会员同意方可申请取消订单。</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3、申请前联系不上会员，订单需保留5天，并尝试每天不同时段与会员联系（货到付款订单手机空号、停机、拨打号码不存在除外）。</w:t>
      </w:r>
    </w:p>
    <w:p>
      <w:pPr>
        <w:widowControl/>
        <w:shd w:val="clear" w:color="auto" w:fill="FFFFFF"/>
        <w:jc w:val="left"/>
        <w:rPr>
          <w:rFonts w:ascii="黑体" w:hAnsi="黑体" w:eastAsia="黑体" w:cs="黑体"/>
          <w:color w:val="000000"/>
          <w:kern w:val="0"/>
          <w:sz w:val="18"/>
          <w:szCs w:val="18"/>
        </w:rPr>
      </w:pP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二、厂商申请取消原因及操作标准</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1、会员原因要求取消：优先引导会员自助申请取消订单，若会员不方便操作，可代会员提交申请。</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2、联系不上会员：针对货到付款订单收货人手机空号、停机、拨打号码不存在可申请取消订单</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3、订单商品缺货：</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1）优先调货，调货不成功的，需与会员进行协商，协商达成一致的，申请取消需备注与会员协商的解决方案</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2）</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网客服审核时如厂商备注方案与会员核实不一致，</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网客服直接拒绝厂商申请，申请驳回厂商需自行联系会员提供最优方案解决。</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4、价格错标，厂商要求取消订单：申请取消需备注与会员协商的解决方案，</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网客服审核时如厂商备注方案与会员核实不一致，</w:t>
      </w:r>
      <w:r>
        <w:rPr>
          <w:rFonts w:hint="eastAsia" w:ascii="黑体" w:hAnsi="黑体" w:eastAsia="黑体" w:cs="黑体"/>
          <w:color w:val="000000"/>
          <w:kern w:val="0"/>
          <w:sz w:val="18"/>
          <w:szCs w:val="18"/>
          <w:lang w:eastAsia="zh-CN"/>
        </w:rPr>
        <w:t>熬龙</w:t>
      </w:r>
      <w:r>
        <w:rPr>
          <w:rFonts w:hint="eastAsia" w:ascii="黑体" w:hAnsi="黑体" w:eastAsia="黑体" w:cs="黑体"/>
          <w:color w:val="000000"/>
          <w:kern w:val="0"/>
          <w:sz w:val="18"/>
          <w:szCs w:val="18"/>
        </w:rPr>
        <w:t>网客服直接拒绝厂商申请，申请驳回厂商需自行联系会员提供最优方案解决。</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5、报关失败：满足申请取消订单标准申请即可。</w:t>
      </w:r>
    </w:p>
    <w:p>
      <w:pPr>
        <w:widowControl/>
        <w:shd w:val="clear" w:color="auto" w:fill="FFFFFF"/>
        <w:jc w:val="left"/>
        <w:rPr>
          <w:rFonts w:ascii="黑体" w:hAnsi="黑体" w:eastAsia="黑体" w:cs="黑体"/>
          <w:color w:val="000000"/>
          <w:kern w:val="0"/>
          <w:sz w:val="18"/>
          <w:szCs w:val="18"/>
        </w:rPr>
      </w:pPr>
      <w:r>
        <w:rPr>
          <w:rFonts w:hint="eastAsia" w:ascii="黑体" w:hAnsi="黑体" w:eastAsia="黑体" w:cs="黑体"/>
          <w:color w:val="000000"/>
          <w:kern w:val="0"/>
          <w:sz w:val="18"/>
          <w:szCs w:val="18"/>
        </w:rPr>
        <w:t>6、地址无法送达：满足申请取消订单标准申请即可。</w:t>
      </w:r>
    </w:p>
    <w:p>
      <w:pPr>
        <w:widowControl/>
        <w:shd w:val="clear" w:color="auto" w:fill="FFFFFF"/>
        <w:jc w:val="left"/>
        <w:rPr>
          <w:rFonts w:ascii="黑体" w:hAnsi="黑体" w:eastAsia="黑体" w:cs="黑体"/>
          <w:color w:val="000000"/>
          <w:kern w:val="0"/>
          <w:sz w:val="18"/>
          <w:szCs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9C014"/>
    <w:multiLevelType w:val="singleLevel"/>
    <w:tmpl w:val="5979C014"/>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136D5C"/>
    <w:rsid w:val="004A6CD5"/>
    <w:rsid w:val="00694126"/>
    <w:rsid w:val="00B535F6"/>
    <w:rsid w:val="00C96346"/>
    <w:rsid w:val="00E769CE"/>
    <w:rsid w:val="1AB5237C"/>
    <w:rsid w:val="417D2E40"/>
    <w:rsid w:val="43732E75"/>
    <w:rsid w:val="44393219"/>
    <w:rsid w:val="47AB068F"/>
    <w:rsid w:val="5D136D5C"/>
    <w:rsid w:val="66E96936"/>
    <w:rsid w:val="6733532F"/>
    <w:rsid w:val="756270A6"/>
    <w:rsid w:val="7F6E4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uiPriority w:val="0"/>
    <w:rPr>
      <w:sz w:val="18"/>
      <w:szCs w:val="18"/>
    </w:rPr>
  </w:style>
  <w:style w:type="paragraph" w:styleId="4">
    <w:name w:val="footer"/>
    <w:basedOn w:val="1"/>
    <w:link w:val="14"/>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annotation reference"/>
    <w:basedOn w:val="7"/>
    <w:qFormat/>
    <w:uiPriority w:val="0"/>
    <w:rPr>
      <w:sz w:val="21"/>
      <w:szCs w:val="21"/>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批注框文本 字符"/>
    <w:basedOn w:val="7"/>
    <w:link w:val="3"/>
    <w:qFormat/>
    <w:uiPriority w:val="0"/>
    <w:rPr>
      <w:rFonts w:asciiTheme="minorHAnsi" w:hAnsiTheme="minorHAnsi" w:eastAsiaTheme="minorEastAsia" w:cstheme="minorBidi"/>
      <w:kern w:val="2"/>
      <w:sz w:val="18"/>
      <w:szCs w:val="18"/>
    </w:rPr>
  </w:style>
  <w:style w:type="character" w:customStyle="1" w:styleId="13">
    <w:name w:val="页眉 字符"/>
    <w:basedOn w:val="7"/>
    <w:link w:val="5"/>
    <w:uiPriority w:val="0"/>
    <w:rPr>
      <w:rFonts w:asciiTheme="minorHAnsi" w:hAnsiTheme="minorHAnsi" w:eastAsiaTheme="minorEastAsia" w:cstheme="minorBidi"/>
      <w:kern w:val="2"/>
      <w:sz w:val="18"/>
      <w:szCs w:val="18"/>
    </w:rPr>
  </w:style>
  <w:style w:type="character" w:customStyle="1" w:styleId="14">
    <w:name w:val="页脚 字符"/>
    <w:basedOn w:val="7"/>
    <w:link w:val="4"/>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2179</Words>
  <Characters>12425</Characters>
  <Lines>103</Lines>
  <Paragraphs>29</Paragraphs>
  <TotalTime>0</TotalTime>
  <ScaleCrop>false</ScaleCrop>
  <LinksUpToDate>false</LinksUpToDate>
  <CharactersWithSpaces>14575</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2017-07-26T03:40:00Z</dcterms:created>
  <dc:creator>Zerbo</dc:creator>
  <cp:lastModifiedBy>Administrator</cp:lastModifiedBy>
  <dcterms:modified xsi:type="dcterms:W3CDTF">2017-10-06T14:04:11Z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