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pPr>
              <w:spacing w:before="0" w:after="8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A la semana 10, el equipo cuenta con una primera versión funcional de la plataforma web Conciliación Automatizada 2.0, desarrollada en Django, que se entregará al cliente el lunes 26 de octubre para su revisión y retroalimentación. El trabajo se organizó en sprints de dos semanas sobre el repositorio GitHub del proyecto.</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Actividades realizadas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Levantamiento con el cliente</w:t>
            </w:r>
            <w:r>
              <w:rPr>
                <w:rFonts w:ascii="Calibri" w:hAnsi="Calibri" w:cs="Arial"/>
                <w:color w:val="262626"/>
                <w:sz w:val="20"/>
                <w:szCs w:val="20"/>
                <w:lang w:val="es-CL" w:eastAsia="es-CL"/>
              </w:rPr>
              <w:t xml:space="preserve"> (reunión del 03-09 con Tesorería, Contabilidad y Auditoría): reglas de cruce, tolerancias, tipos de excepción y perfiles de usuario, formalizados en requerimientos (RF/RNF), historias de usuario, casos de uso y mockups.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Motor de conciliación en dólares:</w:t>
            </w:r>
            <w:r>
              <w:rPr>
                <w:rFonts w:ascii="Calibri" w:hAnsi="Calibri" w:cs="Arial"/>
                <w:color w:val="262626"/>
                <w:sz w:val="20"/>
                <w:szCs w:val="20"/>
                <w:lang w:val="es-CL" w:eastAsia="es-CL"/>
              </w:rPr>
              <w:t xml:space="preserve"> se migró y reescribió la lógica del sistema anterior (ERP, Transbank, cartolas de Amex, Diners, Visa y Mastercard, y banco) como un módulo independiente de las pantallas, más fácil de probar y mantener.</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Motor de conciliación en pesos (nuevo):</w:t>
            </w:r>
            <w:r>
              <w:rPr>
                <w:rFonts w:ascii="Calibri" w:hAnsi="Calibri" w:cs="Arial"/>
                <w:color w:val="262626"/>
                <w:sz w:val="20"/>
                <w:szCs w:val="20"/>
                <w:lang w:val="es-CL" w:eastAsia="es-CL"/>
              </w:rPr>
              <w:t xml:space="preserve"> cruza las liquidaciones de Transbank (crédito, débito y prepago) con los pagos con tarjeta del BORDERO por código de autorización y monto, detecta errores de digitación (“O” por “0”, ceros faltantes) y verifica que cada abono llegue a la cartola bancaria (Banco de Chile y BancoEstado).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Historial de conciliaciones:</w:t>
            </w:r>
            <w:r>
              <w:rPr>
                <w:rFonts w:ascii="Calibri" w:hAnsi="Calibri" w:cs="Arial"/>
                <w:color w:val="262626"/>
                <w:sz w:val="20"/>
                <w:szCs w:val="20"/>
                <w:lang w:val="es-CL" w:eastAsia="es-CL"/>
              </w:rPr>
              <w:t xml:space="preserve"> cada análisis queda guardado con sus resultados y sus reportes Excel, para volver a consultarlo y descargarlo sin reprocesar.</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Identificación de tarjetas por BIN</w:t>
            </w:r>
            <w:r>
              <w:rPr>
                <w:rFonts w:ascii="Calibri" w:hAnsi="Calibri" w:cs="Arial"/>
                <w:color w:val="262626"/>
                <w:sz w:val="20"/>
                <w:szCs w:val="20"/>
                <w:lang w:val="es-CL" w:eastAsia="es-CL"/>
              </w:rPr>
              <w:t xml:space="preserve"> (marca, tipo, banco emisor y país) con una base local de aproximadamente 375.000 BIN, sin depender de internet.</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Robustez y calidad:</w:t>
            </w:r>
            <w:r>
              <w:rPr>
                <w:rFonts w:ascii="Calibri" w:hAnsi="Calibri" w:cs="Arial"/>
                <w:color w:val="262626"/>
                <w:sz w:val="20"/>
                <w:szCs w:val="20"/>
                <w:lang w:val="es-CL" w:eastAsia="es-CL"/>
              </w:rPr>
              <w:t xml:space="preserve"> lectura de archivos .xls, .xlsx, .csv y exportaciones web; montos con formato chileno; inicio de sesión por correo; 21 pruebas automatizadas.</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Objetivos específicos y grado de cumplimiento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OE1. Analizar y definir los requerimientos:</w:t>
            </w:r>
            <w:r>
              <w:rPr>
                <w:rFonts w:ascii="Calibri" w:hAnsi="Calibri" w:cs="Arial"/>
                <w:color w:val="262626"/>
                <w:sz w:val="20"/>
                <w:szCs w:val="20"/>
                <w:lang w:val="es-CL" w:eastAsia="es-CL"/>
              </w:rPr>
              <w:t xml:space="preserve"> cumplido.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OE2. Diseñar la arquitectura y el modelo de datos:</w:t>
            </w:r>
            <w:r>
              <w:rPr>
                <w:rFonts w:ascii="Calibri" w:hAnsi="Calibri" w:cs="Arial"/>
                <w:color w:val="262626"/>
                <w:sz w:val="20"/>
                <w:szCs w:val="20"/>
                <w:lang w:val="es-CL" w:eastAsia="es-CL"/>
              </w:rPr>
              <w:t xml:space="preserve"> cumplido, con ajustes tecnológicos (ver Metodología).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OE3. Desarrollar la ingesta y los motores de conciliación:</w:t>
            </w:r>
            <w:r>
              <w:rPr>
                <w:rFonts w:ascii="Calibri" w:hAnsi="Calibri" w:cs="Arial"/>
                <w:color w:val="262626"/>
                <w:sz w:val="20"/>
                <w:szCs w:val="20"/>
                <w:lang w:val="es-CL" w:eastAsia="es-CL"/>
              </w:rPr>
              <w:t xml:space="preserve"> cumplido para tarjetas en pesos y dólares. La conciliación bancaria a tres bandas está en revisión de alcance (ver Objetivos).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OE4. Historial, reportes de excepciones e indicadores:</w:t>
            </w:r>
            <w:r>
              <w:rPr>
                <w:rFonts w:ascii="Calibri" w:hAnsi="Calibri" w:cs="Arial"/>
                <w:color w:val="262626"/>
                <w:sz w:val="20"/>
                <w:szCs w:val="20"/>
                <w:lang w:val="es-CL" w:eastAsia="es-CL"/>
              </w:rPr>
              <w:t xml:space="preserve"> en curso. Están listos el historial, los reportes Excel y los indicadores por conciliación; faltan la clasificación avanzada de excepciones y la exportación a PDF.</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OE5. Pruebas, validación y despliegue:</w:t>
            </w:r>
            <w:r>
              <w:rPr>
                <w:rFonts w:ascii="Calibri" w:hAnsi="Calibri" w:cs="Arial"/>
                <w:color w:val="262626"/>
                <w:sz w:val="20"/>
                <w:szCs w:val="20"/>
                <w:lang w:val="es-CL" w:eastAsia="es-CL"/>
              </w:rPr>
              <w:t xml:space="preserve"> en curso. En la prueba con los archivos reales del 04 al 08 de septiembre, la plataforma procesó 141 ventas de Transbank, concilió 103 de forma automática, dejó 7 excepciones para revisión y verificó los 3 abonos en la cartola bancaria. El despliegue en el servidor del CITT está pendiente.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8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Objetivo general (ajustado):</w:t>
            </w:r>
            <w:r>
              <w:rPr>
                <w:rFonts w:ascii="Calibri" w:hAnsi="Calibri" w:cs="Arial"/>
                <w:color w:val="262626"/>
                <w:sz w:val="20"/>
                <w:szCs w:val="20"/>
                <w:lang w:val="es-CL" w:eastAsia="es-CL"/>
              </w:rPr>
              <w:t xml:space="preserve"> desarrollar e implementar una plataforma web de Conciliación Automatizada 2.0 que automatice la conciliación de las ventas con tarjeta en pesos (CLP) y dólares (USD) del Hotel Plaza San Francisco, cruzando Transbank, el BORDERO del ERP CM SFM, las cartolas de los emisores y la cartola bancaria, para reducir el tiempo del proceso y el margen de error.</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Objetivos específicos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OE1. Analizar y definir los requerimientos del negocio (sin cambios).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OE2. Diseñar la arquitectura web y el modelo de datos que soporte el historial de conciliaciones.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OE3. Desarrollar la ingesta de los archivos nativos y los motores de conciliación de tarjetas en CLP y USD.</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OE4. Implementar el historial, los reportes de excepciones y los indicadores que faciliten el trabajo del analista.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OE5. Probar y validar la plataforma con datos reales del hotel y desplegarla en el servidor institucional (CITT).</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Ajustes y justificación</w:t>
            </w:r>
          </w:p>
          <w:p>
            <w:pPr>
              <w:spacing w:before="0" w:after="8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La conciliación bancaria a tres bandas (cartola vs. control financiero vs. contabilidad) resultó más compleja de lo estimado por la cantidad de cuentas en pesos y dólares en distintos bancos y por la diversidad de excepciones contables. Junto al docente se propone dejarla fuera de este semestre y reemplazarla por herramientas de análisis para el analista: historial de conciliaciones, consulta de reportes anteriores, movimientos pendientes e indicadores. Este ajuste está en validación con el cliente. Además, el alcance se acota al Hotel Plaza San Francisco en lugar de la operación de varios recintos.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8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Se mantiene la metodología ágil (Scrum) con sprints de dos semanas y revisiones con el cliente. Se ajustó la arquitectura técnica definida en la Fase 1:</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Interfaz:</w:t>
            </w:r>
            <w:r>
              <w:rPr>
                <w:rFonts w:ascii="Calibri" w:hAnsi="Calibri" w:cs="Arial"/>
                <w:color w:val="262626"/>
                <w:sz w:val="20"/>
                <w:szCs w:val="20"/>
                <w:lang w:val="es-CL" w:eastAsia="es-CL"/>
              </w:rPr>
              <w:t xml:space="preserve"> plantillas Django con HTML, CSS y JavaScript en lugar de Angular. Sigue siendo una aplicación web que no requiere instalar software en el hotel, y una sola aplicación reduce el tiempo de desarrollo y de despliegue para un equipo de tres personas.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Backend:</w:t>
            </w:r>
            <w:r>
              <w:rPr>
                <w:rFonts w:ascii="Calibri" w:hAnsi="Calibri" w:cs="Arial"/>
                <w:color w:val="262626"/>
                <w:sz w:val="20"/>
                <w:szCs w:val="20"/>
                <w:lang w:val="es-CL" w:eastAsia="es-CL"/>
              </w:rPr>
              <w:t xml:space="preserve"> vistas de Django en lugar de una API REST con Django REST Framework.</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Base de datos:</w:t>
            </w:r>
            <w:r>
              <w:rPr>
                <w:rFonts w:ascii="Calibri" w:hAnsi="Calibri" w:cs="Arial"/>
                <w:color w:val="262626"/>
                <w:sz w:val="20"/>
                <w:szCs w:val="20"/>
                <w:lang w:val="es-CL" w:eastAsia="es-CL"/>
              </w:rPr>
              <w:t xml:space="preserve"> SQLite para la etapa piloto; el modelo es compatible con PostgreSQL para producción.</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Reportería:</w:t>
            </w:r>
            <w:r>
              <w:rPr>
                <w:rFonts w:ascii="Calibri" w:hAnsi="Calibri" w:cs="Arial"/>
                <w:color w:val="262626"/>
                <w:sz w:val="20"/>
                <w:szCs w:val="20"/>
                <w:lang w:val="es-CL" w:eastAsia="es-CL"/>
              </w:rPr>
              <w:t xml:space="preserve"> indicadores dentro de la aplicación y reportes Excel en lugar de Power BI; la exportación a PDF queda planificada.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Despliegue:</w:t>
            </w:r>
            <w:r>
              <w:rPr>
                <w:rFonts w:ascii="Calibri" w:hAnsi="Calibri" w:cs="Arial"/>
                <w:color w:val="262626"/>
                <w:sz w:val="20"/>
                <w:szCs w:val="20"/>
                <w:lang w:val="es-CL" w:eastAsia="es-CL"/>
              </w:rPr>
              <w:t xml:space="preserve"> servidor institucional del CITT en lugar de GCP o Azure.</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Calidad:</w:t>
            </w:r>
            <w:r>
              <w:rPr>
                <w:rFonts w:ascii="Calibri" w:hAnsi="Calibri" w:cs="Arial"/>
                <w:color w:val="262626"/>
                <w:sz w:val="20"/>
                <w:szCs w:val="20"/>
                <w:lang w:val="es-CL" w:eastAsia="es-CL"/>
              </w:rPr>
              <w:t xml:space="preserve"> pruebas automatizadas y pruebas con archivos reales del cliente antes de cada entrega.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Aplicación web funcional (v3.2)</w:t>
            </w:r>
            <w:r>
              <w:rPr>
                <w:rFonts w:ascii="Calibri" w:hAnsi="Calibri" w:cs="Arial"/>
                <w:color w:val="262626"/>
                <w:sz w:val="20"/>
                <w:szCs w:val="20"/>
                <w:lang w:val="es-CL" w:eastAsia="es-CL"/>
              </w:rPr>
              <w:t xml:space="preserve"> en el repositorio GitHub (https://github.com/aoaguirre123/Conciliacion_Automatizada_2.0): inicio de sesión, conciliación en dólares, conciliación en pesos, historial con detalle y descargas, e identificación de tarjetas. Evidencia el cumplimiento de OE2 y OE3.</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Base de datos:</w:t>
            </w:r>
            <w:r>
              <w:rPr>
                <w:rFonts w:ascii="Calibri" w:hAnsi="Calibri" w:cs="Arial"/>
                <w:color w:val="262626"/>
                <w:sz w:val="20"/>
                <w:szCs w:val="20"/>
                <w:lang w:val="es-CL" w:eastAsia="es-CL"/>
              </w:rPr>
              <w:t xml:space="preserve"> modelo implementado con migraciones de Django (Conciliación, Reporte, BIN de tarjeta y usuarios), que guarda cada análisis y sus reportes Excel. Evidencia OE2 y OE4.</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Pruebas:</w:t>
            </w:r>
            <w:r>
              <w:rPr>
                <w:rFonts w:ascii="Calibri" w:hAnsi="Calibri" w:cs="Arial"/>
                <w:color w:val="262626"/>
                <w:sz w:val="20"/>
                <w:szCs w:val="20"/>
                <w:lang w:val="es-CL" w:eastAsia="es-CL"/>
              </w:rPr>
              <w:t xml:space="preserve"> 21 pruebas automatizadas sobre la lectura de archivos, el motor en dólares, las cartolas en pesos y el formato de montos (python manage.py test apps.conciliacion), más la prueba con los archivos reales del 04 al 08 de septiembre. Evidencia OE5.</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Capturas de pantalla</w:t>
            </w:r>
            <w:r>
              <w:rPr>
                <w:rFonts w:ascii="Calibri" w:hAnsi="Calibri" w:cs="Arial"/>
                <w:color w:val="262626"/>
                <w:sz w:val="20"/>
                <w:szCs w:val="20"/>
                <w:lang w:val="es-CL" w:eastAsia="es-CL"/>
              </w:rPr>
              <w:t xml:space="preserve"> de cada módulo con resultados reales, en la carpeta de evidencias de sistema.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Documentación:</w:t>
            </w:r>
            <w:r>
              <w:rPr>
                <w:rFonts w:ascii="Calibri" w:hAnsi="Calibri" w:cs="Arial"/>
                <w:color w:val="262626"/>
                <w:sz w:val="20"/>
                <w:szCs w:val="20"/>
                <w:lang w:val="es-CL" w:eastAsia="es-CL"/>
              </w:rPr>
              <w:t xml:space="preserve"> README del repositorio, requerimientos funcionales y no funcionales, historias de usuario, casos de uso, mockups, acta de reunión con el cliente, Carta Gantt, matriz de riesgos y matriz RACI.</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Historial de commits</w:t>
            </w:r>
            <w:r>
              <w:rPr>
                <w:rFonts w:ascii="Calibri" w:hAnsi="Calibri" w:cs="Arial"/>
                <w:color w:val="262626"/>
                <w:sz w:val="20"/>
                <w:szCs w:val="20"/>
                <w:lang w:val="es-CL" w:eastAsia="es-CL"/>
              </w:rPr>
              <w:t xml:space="preserve"> en GitHub, que registra los aportes de cada integrante.</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Resguardo de la calidad</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El motor de conciliación está separado de las pantallas, lo que permite probarlo de forma aislada.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Cada cambio se valida con las pruebas automatizadas y con datos reales antes de publicarse.</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El repositorio es público: las pruebas usan archivos sintéticos y no se suben datos financieros del hotel (RNF-01).</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Los archivos se procesan tal como los entrega cada fuente, sin manipulación previa (RF-01).</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La conciliación en pesos con los datos reales de septiembre (unos 2.100 registros del BORDERO) toma menos de un segundo, dentro del RNF-02 (10.000 registros en menos de 30 segundos).</w:t>
            </w:r>
          </w:p>
        </w:tc>
      </w:tr>
    </w:tbl>
    <w:p>
      <w:pPr>
        <w:spacing w:before="0" w:after="240"/>
      </w:pPr>
    </w:p>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Ind w:w="-63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0"/>
        <w:gridCol w:w="1250"/>
        <w:gridCol w:w="1150"/>
        <w:gridCol w:w="900"/>
        <w:gridCol w:w="1100"/>
        <w:gridCol w:w="1480"/>
        <w:gridCol w:w="1080"/>
        <w:gridCol w:w="1566"/>
      </w:tblGrid>
      <w:tr w:rsidR="00FD5149" w:rsidRPr="006E3B0D" w14:paraId="66FA4353" w14:textId="77777777" w:rsidTr="00EA0C09">
        <w:trPr>
          <w:trHeight w:val="415"/>
          <w:cantSplit/>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cantSplit/>
          <w:tblHeader/>
        </w:trPr>
        <w:tc>
          <w:tcPr>
            <w:tcW w:w="12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2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15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9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1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48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08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156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Análisis de requerimientos</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Levantamiento de procesos contables y reglas de cruce</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Reuniones con el cliente, planillas y cartolas reales</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2 semanas</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Aoris Aguirre</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Facilitó el acceso a Tesorería, Contabilidad y Auditoría y a archivos reales.</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Completado</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Se sumaron reglas: tolerancia, prepago y errores de digitación.</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Diseño de sistemas</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Arquitectura y modelo de base de datos</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Django, SQLite, draw.io</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2 semanas</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Victor Yañez</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El diagrama relacional debe actualizarse al modelo final.</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Ajustada</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Aplicación Django única y SQLite en lugar de Angular + DRF y PostgreSQL/SQL Server.</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Desarrollo frontend</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Interfaz web y módulo de ingesta de archivos</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HTML, CSS, JavaScript, plantillas Django</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3 semanas</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Victor Yañez</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Cada banco y emisor entrega archivos con formatos distintos.</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Completado</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Plantillas Django en lugar de Angular; carga con validación y arrastre de archivos.</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Desarrollo backend y algoritmos</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Motores de conciliación de tarjetas CLP y USD</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Python, Django, Pandas, archivos reales</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4 semanas</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Aoris Aguirre</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Códigos mal digitados y ventas fuera del período del BORDERO.</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En curso</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Conciliación a tres bandas propuesta fuera de alcance; faltan tolerancia configurable y cuotas diferidas.</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Integración y reportería</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Historial, reportes de excepciones e indicadores</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Pandas, OpenPyXL, Django</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3 semanas</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Jesús Márquez</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Se agregó la identificación de tarjetas por BIN.</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En curso</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Indicadores en la aplicación y Excel en lugar de Power BI; PDF pendiente.</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Aseguramiento de calidad y despliegue</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Pruebas y despliegue en servidor</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Pruebas automatizadas, datos reales, servidor CITT</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3 semanas</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Jesús Márquez</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Aún no llegan las instrucciones del servidor CITT.</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Con retraso</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Servidor CITT en lugar de GCP/Azure; 21 pruebas automatizadas listas.</w:t>
            </w:r>
          </w:p>
        </w:tc>
      </w:tr>
      <w:tr>
        <w:trPr>
          <w:cantSplit/>
        </w:trPr>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Gestión de proyectos</w:t>
            </w:r>
          </w:p>
        </w:tc>
        <w:tc>
          <w:tcPr>
            <w:tcW w:w="12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Entrega de la primera versión al cliente y documentación de la Fase 2</w:t>
            </w:r>
          </w:p>
        </w:tc>
        <w:tc>
          <w:tcPr>
            <w:tcW w:w="115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GitHub, Google Drive, correo</w:t>
            </w:r>
          </w:p>
        </w:tc>
        <w:tc>
          <w:tcPr>
            <w:tcW w:w="9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1 semana</w:t>
            </w:r>
          </w:p>
        </w:tc>
        <w:tc>
          <w:tcPr>
            <w:tcW w:w="110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Aoris Aguirre, Victor Yañez y Jesús Márquez</w:t>
            </w:r>
          </w:p>
        </w:tc>
        <w:tc>
          <w:tcPr>
            <w:tcW w:w="1480"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Entrega al cliente el 26-10 al mediodía.</w:t>
            </w:r>
          </w:p>
        </w:tc>
        <w:tc>
          <w:tcPr>
            <w:tcW w:w="1080" w:type="dxa"/>
          </w:tcPr>
          <w:p>
            <w:pPr>
              <w:spacing w:before="0" w:after="0" w:line="259" w:lineRule="auto"/>
              <w:jc w:val="left"/>
              <w:rPr>
                <w:rFonts w:ascii="Calibri" w:hAnsi="Calibri" w:cs="Arial"/>
                <w:color w:val="262626"/>
                <w:sz w:val="16"/>
                <w:szCs w:val="16"/>
                <w:lang w:val="es-CL" w:eastAsia="es-CL"/>
              </w:rPr>
            </w:pPr>
            <w:r>
              <w:rPr>
                <w:rFonts w:ascii="Calibri" w:hAnsi="Calibri" w:cs="Arial"/>
                <w:b/>
                <w:bCs/>
                <w:color w:val="262626"/>
                <w:sz w:val="16"/>
                <w:szCs w:val="16"/>
                <w:lang w:val="es-CL" w:eastAsia="es-CL"/>
              </w:rPr>
              <w:t xml:space="preserve">En curso</w:t>
            </w:r>
          </w:p>
        </w:tc>
        <w:tc>
          <w:tcPr>
            <w:tcW w:w="1566" w:type="dxa"/>
          </w:tcPr>
          <w:p>
            <w:pPr>
              <w:spacing w:before="0" w:after="0" w:line="259" w:lineRule="auto"/>
              <w:jc w:val="left"/>
              <w:rPr>
                <w:rFonts w:ascii="Calibri" w:hAnsi="Calibri" w:cs="Arial"/>
                <w:color w:val="262626"/>
                <w:sz w:val="16"/>
                <w:szCs w:val="16"/>
                <w:lang w:val="es-CL" w:eastAsia="es-CL"/>
              </w:rPr>
            </w:pPr>
            <w:r>
              <w:rPr>
                <w:rFonts w:ascii="Calibri" w:hAnsi="Calibri" w:cs="Arial"/>
                <w:color w:val="262626"/>
                <w:sz w:val="16"/>
                <w:szCs w:val="16"/>
                <w:lang w:val="es-CL" w:eastAsia="es-CL"/>
              </w:rPr>
              <w:t xml:space="preserve">Actividad nueva.</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pPr>
              <w:spacing w:before="40" w:after="80"/>
              <w:jc w:val="both"/>
            </w:pPr>
            <w:r>
              <w:rPr>
                <w:rFonts w:ascii="Calibri" w:hAnsi="Calibri"/>
                <w:b/>
                <w:color w:val="1F3864" w:themeColor="accent1" w:themeShade="80"/>
              </w:rPr>
              <w:t xml:space="preserve">Factores que han facilitado y/o dificultado el desarrollo de mi plan de trabajo</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Factores que facilitaron el avance</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La disposición del cliente y el acceso a archivos reales (BORDERO, Transbank y cartolas), que permitieron probar con datos verdaderos desde temprano.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El código del sistema anterior sirvió de base para la lógica de conciliación en dólares.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color w:val="262626"/>
                <w:sz w:val="20"/>
                <w:szCs w:val="20"/>
                <w:lang w:val="es-CL" w:eastAsia="es-CL"/>
              </w:rPr>
              <w:t xml:space="preserve">Herramientas conocidas por el equipo (Python, Django, Pandas) y el control de versiones en GitHub.</w:t>
            </w:r>
          </w:p>
          <w:p>
            <w:pPr>
              <w:spacing w:before="80" w:after="40" w:line="259" w:lineRule="auto"/>
              <w:jc w:val="both"/>
              <w:rPr>
                <w:rFonts w:ascii="Calibri" w:hAnsi="Calibri" w:cs="Arial"/>
                <w:color w:val="1F3864"/>
                <w:sz w:val="20"/>
                <w:szCs w:val="20"/>
                <w:lang w:val="es-CL" w:eastAsia="es-CL"/>
              </w:rPr>
            </w:pPr>
            <w:r>
              <w:rPr>
                <w:rFonts w:ascii="Calibri" w:hAnsi="Calibri" w:cs="Arial"/>
                <w:b/>
                <w:bCs/>
                <w:color w:val="1F3864"/>
                <w:sz w:val="20"/>
                <w:szCs w:val="20"/>
                <w:lang w:val="es-CL" w:eastAsia="es-CL"/>
              </w:rPr>
              <w:t xml:space="preserve">Dificultades y acciones tomadas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Formatos distintos según la fuente:</w:t>
            </w:r>
            <w:r>
              <w:rPr>
                <w:rFonts w:ascii="Calibri" w:hAnsi="Calibri" w:cs="Arial"/>
                <w:color w:val="262626"/>
                <w:sz w:val="20"/>
                <w:szCs w:val="20"/>
                <w:lang w:val="es-CL" w:eastAsia="es-CL"/>
              </w:rPr>
              <w:t xml:space="preserve"> cada banco entrega la cartola de otra manera (Banco de Chile en .xls; BancoEstado con una hoja de resumen y otra de movimientos). Acción: un módulo de lectura que reconoce el formato por su contenido y ubica las columnas por su nombre.</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Errores de digitación en el BORDERO</w:t>
            </w:r>
            <w:r>
              <w:rPr>
                <w:rFonts w:ascii="Calibri" w:hAnsi="Calibri" w:cs="Arial"/>
                <w:color w:val="262626"/>
                <w:sz w:val="20"/>
                <w:szCs w:val="20"/>
                <w:lang w:val="es-CL" w:eastAsia="es-CL"/>
              </w:rPr>
              <w:t xml:space="preserve"> (“O” por “0”, ceros faltantes) que impedían el cruce exacto. Acción: cruce en varias pasadas, de la coincidencia más segura a la más flexible, marcando los casos dudosos para revisión.</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Ventas de fechas que el BORDERO cargado no cubre</w:t>
            </w:r>
            <w:r>
              <w:rPr>
                <w:rFonts w:ascii="Calibri" w:hAnsi="Calibri" w:cs="Arial"/>
                <w:color w:val="262626"/>
                <w:sz w:val="20"/>
                <w:szCs w:val="20"/>
                <w:lang w:val="es-CL" w:eastAsia="es-CL"/>
              </w:rPr>
              <w:t xml:space="preserve"> (por ejemplo, cuotas de meses anteriores). Acción: se separan como “fuera del período” y se planifica arrastrarlas a la siguiente conciliación.</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Alcance de la conciliación bancaria a tres bandas</w:t>
            </w:r>
            <w:r>
              <w:rPr>
                <w:rFonts w:ascii="Calibri" w:hAnsi="Calibri" w:cs="Arial"/>
                <w:color w:val="262626"/>
                <w:sz w:val="20"/>
                <w:szCs w:val="20"/>
                <w:lang w:val="es-CL" w:eastAsia="es-CL"/>
              </w:rPr>
              <w:t xml:space="preserve"> mayor al estimado. Acción: se propone acotar el semestre a la conciliación de tarjetas con más herramientas de análisis.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Falta de archivos reales en dólares</w:t>
            </w:r>
            <w:r>
              <w:rPr>
                <w:rFonts w:ascii="Calibri" w:hAnsi="Calibri" w:cs="Arial"/>
                <w:color w:val="262626"/>
                <w:sz w:val="20"/>
                <w:szCs w:val="20"/>
                <w:lang w:val="es-CL" w:eastAsia="es-CL"/>
              </w:rPr>
              <w:t xml:space="preserve"> (Transbank, ERP y emisores). Acción: se solicitarán al cliente en la entrega del 26-10; mientras tanto, el módulo se valida con archivos de prueba.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Instrucciones del servidor CITT pendientes.</w:t>
            </w:r>
            <w:r>
              <w:rPr>
                <w:rFonts w:ascii="Calibri" w:hAnsi="Calibri" w:cs="Arial"/>
                <w:color w:val="262626"/>
                <w:sz w:val="20"/>
                <w:szCs w:val="20"/>
                <w:lang w:val="es-CL" w:eastAsia="es-CL"/>
              </w:rPr>
              <w:t xml:space="preserve"> Acción: dejar lista la configuración de despliegue (variables de entorno, archivos estáticos y documentación de instalación).</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pPr>
              <w:spacing w:before="40" w:after="80"/>
              <w:jc w:val="both"/>
            </w:pPr>
            <w:r>
              <w:rPr>
                <w:rFonts w:ascii="Calibri" w:hAnsi="Calibri"/>
                <w:b/>
                <w:color w:val="1F3864" w:themeColor="accent1" w:themeShade="80"/>
              </w:rPr>
              <w:t xml:space="preserve">Actividades ajustadas o eliminadas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Interfaz en Angular → plantillas Django:</w:t>
            </w:r>
            <w:r>
              <w:rPr>
                <w:rFonts w:ascii="Calibri" w:hAnsi="Calibri" w:cs="Arial"/>
                <w:color w:val="262626"/>
                <w:sz w:val="20"/>
                <w:szCs w:val="20"/>
                <w:lang w:val="es-CL" w:eastAsia="es-CL"/>
              </w:rPr>
              <w:t xml:space="preserve"> cumple igual la restricción de solución web sin instalación y reduce el tiempo de desarrollo y despliegue.</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API REST con Django REST Framework → vistas Django:</w:t>
            </w:r>
            <w:r>
              <w:rPr>
                <w:rFonts w:ascii="Calibri" w:hAnsi="Calibri" w:cs="Arial"/>
                <w:color w:val="262626"/>
                <w:sz w:val="20"/>
                <w:szCs w:val="20"/>
                <w:lang w:val="es-CL" w:eastAsia="es-CL"/>
              </w:rPr>
              <w:t xml:space="preserve"> al no existir un frontend separado, la API no era necesaria.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PostgreSQL o SQL Server → SQLite en la etapa piloto:</w:t>
            </w:r>
            <w:r>
              <w:rPr>
                <w:rFonts w:ascii="Calibri" w:hAnsi="Calibri" w:cs="Arial"/>
                <w:color w:val="262626"/>
                <w:sz w:val="20"/>
                <w:szCs w:val="20"/>
                <w:lang w:val="es-CL" w:eastAsia="es-CL"/>
              </w:rPr>
              <w:t xml:space="preserve"> simplifica la instalación; el modelo es migrable a PostgreSQL.</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Panel en Power BI (eliminado):</w:t>
            </w:r>
            <w:r>
              <w:rPr>
                <w:rFonts w:ascii="Calibri" w:hAnsi="Calibri" w:cs="Arial"/>
                <w:color w:val="262626"/>
                <w:sz w:val="20"/>
                <w:szCs w:val="20"/>
                <w:lang w:val="es-CL" w:eastAsia="es-CL"/>
              </w:rPr>
              <w:t xml:space="preserve"> se reemplaza por indicadores y reportes Excel dentro de la aplicación, lo que evita licencias y mantiene todo en la plataforma web.</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Despliegue en GCP o Azure → servidor del CITT:</w:t>
            </w:r>
            <w:r>
              <w:rPr>
                <w:rFonts w:ascii="Calibri" w:hAnsi="Calibri" w:cs="Arial"/>
                <w:color w:val="262626"/>
                <w:sz w:val="20"/>
                <w:szCs w:val="20"/>
                <w:lang w:val="es-CL" w:eastAsia="es-CL"/>
              </w:rPr>
              <w:t xml:space="preserve"> requisito institucional de la asignatura.</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Conciliación bancaria a tres bandas:</w:t>
            </w:r>
            <w:r>
              <w:rPr>
                <w:rFonts w:ascii="Calibri" w:hAnsi="Calibri" w:cs="Arial"/>
                <w:color w:val="262626"/>
                <w:sz w:val="20"/>
                <w:szCs w:val="20"/>
                <w:lang w:val="es-CL" w:eastAsia="es-CL"/>
              </w:rPr>
              <w:t xml:space="preserve"> se propone dejarla fuera de este semestre y reemplazarla por historial de conciliaciones, consulta de reportes anteriores, movimientos pendientes e indicadores (en validación con el cliente).</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Operación de varios recintos:</w:t>
            </w:r>
            <w:r>
              <w:rPr>
                <w:rFonts w:ascii="Calibri" w:hAnsi="Calibri" w:cs="Arial"/>
                <w:color w:val="262626"/>
                <w:sz w:val="20"/>
                <w:szCs w:val="20"/>
                <w:lang w:val="es-CL" w:eastAsia="es-CL"/>
              </w:rPr>
              <w:t xml:space="preserve"> se acota al Hotel Plaza San Francisco.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Actividades nuevas:</w:t>
            </w:r>
            <w:r>
              <w:rPr>
                <w:rFonts w:ascii="Calibri" w:hAnsi="Calibri" w:cs="Arial"/>
                <w:color w:val="262626"/>
                <w:sz w:val="20"/>
                <w:szCs w:val="20"/>
                <w:lang w:val="es-CL" w:eastAsia="es-CL"/>
              </w:rPr>
              <w:t xml:space="preserve"> identificación de tarjetas por BIN, lectura de archivos en distintos formatos e historial de conciliaciones, todas surgidas al trabajar con los archivos reales.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spacing w:before="40" w:after="80"/>
              <w:jc w:val="both"/>
            </w:pPr>
            <w:r>
              <w:rPr>
                <w:rFonts w:ascii="Calibri" w:hAnsi="Calibri"/>
                <w:b/>
                <w:color w:val="1F3864" w:themeColor="accent1" w:themeShade="80"/>
              </w:rPr>
              <w:t xml:space="preserve">Actividades que no has iniciado o están retrasadas</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Despliegue en el servidor del CITT (con retraso):</w:t>
            </w:r>
            <w:r>
              <w:rPr>
                <w:rFonts w:ascii="Calibri" w:hAnsi="Calibri" w:cs="Arial"/>
                <w:color w:val="262626"/>
                <w:sz w:val="20"/>
                <w:szCs w:val="20"/>
                <w:lang w:val="es-CL" w:eastAsia="es-CL"/>
              </w:rPr>
              <w:t xml:space="preserve"> depende de las instrucciones de la carrera. La configuración quedará lista para instalar apenas lleguen.</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Tolerancia configurable de $500 a $1.000 y pantalla de parámetros (no iniciado).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Clasificación de cuotas diferidas, anulaciones y registros eliminados en el ERP, con acción sugerida (no iniciado).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Movimientos pendientes que se arrastran entre conciliaciones y período de corte visible en el historial (no iniciado).</w:t>
            </w:r>
            <w:r>
              <w:rPr>
                <w:rFonts w:ascii="Calibri" w:hAnsi="Calibri" w:cs="Arial"/>
                <w:color w:val="262626"/>
                <w:sz w:val="20"/>
                <w:szCs w:val="20"/>
                <w:lang w:val="es-CL" w:eastAsia="es-CL"/>
              </w:rPr>
              <w:t xml:space="preserve"> Es clave en pesos: un rango de fechas mal elegido puede dejar cuotas sin cruzar.</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Exportación a PDF y panel histórico de indicadores (no iniciado).</w:t>
            </w:r>
          </w:p>
          <w:p>
            <w:pPr>
              <w:numPr>
                <w:ilvl w:val="0"/>
                <w:numId w:val="90"/>
              </w:numPr>
              <w:spacing w:before="0" w:after="4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Manuales de usuario e instalación (no iniciado).</w:t>
            </w:r>
          </w:p>
          <w:p>
            <w:pPr>
              <w:spacing w:before="0" w:after="80" w:line="259" w:lineRule="auto"/>
              <w:jc w:val="both"/>
              <w:rPr>
                <w:rFonts w:ascii="Calibri" w:hAnsi="Calibri" w:cs="Arial"/>
                <w:color w:val="262626"/>
                <w:sz w:val="20"/>
                <w:szCs w:val="20"/>
                <w:lang w:val="es-CL" w:eastAsia="es-CL"/>
              </w:rPr>
            </w:pPr>
            <w:r>
              <w:rPr>
                <w:rFonts w:ascii="Calibri" w:hAnsi="Calibri" w:cs="Arial"/>
                <w:b/>
                <w:bCs/>
                <w:color w:val="262626"/>
                <w:sz w:val="20"/>
                <w:szCs w:val="20"/>
                <w:lang w:val="es-CL" w:eastAsia="es-CL"/>
              </w:rPr>
              <w:t xml:space="preserve">Estrategia:</w:t>
            </w:r>
            <w:r>
              <w:rPr>
                <w:rFonts w:ascii="Calibri" w:hAnsi="Calibri" w:cs="Arial"/>
                <w:color w:val="262626"/>
                <w:sz w:val="20"/>
                <w:szCs w:val="20"/>
                <w:lang w:val="es-CL" w:eastAsia="es-CL"/>
              </w:rPr>
              <w:t xml:space="preserve"> priorizaremos estas actividades según la retroalimentación del cliente a la entrega del 26-10 y las distribuiremos en sprints de dos semanas hasta la semana 15, con un responsable por actividad. El avance se registrará cada semana en la planilla de casos de uso del Drive del equipo.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multiLevelType w:val="singleLevel"/>
    <w:lvl w:ilvl="0">
      <w:start w:val="1"/>
      <w:numFmt w:val="bullet"/>
      <w:lvlText w:val="•"/>
      <w:lvlJc w:val="left"/>
      <w:pPr>
        <w:ind w:left="284" w:hanging="227"/>
      </w:pPr>
      <w:rPr>
        <w:rFonts w:ascii="Calibri" w:hAnsi="Calibri"/>
        <w:color w:val="1F3864"/>
      </w:rPr>
    </w:lvl>
  </w:abstractNum>
  <w:num w:numId="1">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