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Calibri" w:cs="Calibri" w:eastAsia="Calibri" w:hAnsi="Calibri"/>
          <w:b w:val="1"/>
          <w:bCs w:val="1"/>
          <w:sz w:val="26"/>
          <w:szCs w:val="26"/>
          <w:rtl w:val="0"/>
        </w:rPr>
        <w:t xml:space="preserve">Presentación Idea De Proyecto </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Calibri" w:cs="Calibri" w:eastAsia="Calibri" w:hAnsi="Calibri"/>
          <w:b w:val="1"/>
          <w:bCs w:val="1"/>
          <w:sz w:val="26"/>
          <w:szCs w:val="26"/>
          <w:rtl w:val="0"/>
        </w:rPr>
        <w:t xml:space="preserve">"Sistema de Conciliación Automatizada 2.0"</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Calibri" w:cs="Calibri" w:eastAsia="Calibri" w:hAnsi="Calibri"/>
          <w:b w:val="1"/>
          <w:bCs w:val="1"/>
          <w:sz w:val="22"/>
          <w:szCs w:val="22"/>
          <w:rtl w:val="0"/>
        </w:rPr>
        <w:t xml:space="preserve">Integrantes: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Calibri" w:cs="Calibri" w:eastAsia="Calibri" w:hAnsi="Calibri"/>
          <w:sz w:val="22"/>
          <w:szCs w:val="22"/>
          <w:rtl w:val="0"/>
        </w:rPr>
        <w:t xml:space="preserve">Aoris Aguirre</w:t>
      </w: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rFonts w:ascii="Calibri" w:cs="Calibri" w:eastAsia="Calibri" w:hAnsi="Calibri"/>
          <w:sz w:val="22"/>
          <w:szCs w:val="22"/>
          <w:rtl w:val="0"/>
        </w:rPr>
        <w:t xml:space="preserve">Jesús Márquez</w:t>
        <w:br w:type="textWrapping"/>
        <w:t xml:space="preserve">Víctor Yáñez</w:t>
      </w:r>
      <w:r w:rsidDel="00000000" w:rsidR="00000000" w:rsidRPr="00000000">
        <w:rPr>
          <w:rtl w:val="0"/>
        </w:rPr>
      </w:r>
    </w:p>
    <w:p w:rsidR="00000000" w:rsidDel="00000000" w:rsidP="00000000" w:rsidRDefault="00000000" w:rsidRPr="00000000" w14:paraId="00000006">
      <w:pPr>
        <w:spacing w:after="40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before="300" w:lineRule="auto"/>
        <w:rPr/>
      </w:pPr>
      <w:r w:rsidDel="00000000" w:rsidR="00000000" w:rsidRPr="00000000">
        <w:rPr>
          <w:rFonts w:ascii="Calibri" w:cs="Calibri" w:eastAsia="Calibri" w:hAnsi="Calibri"/>
          <w:b w:val="1"/>
          <w:bCs w:val="1"/>
          <w:color w:val="1f4e79"/>
          <w:sz w:val="28"/>
          <w:szCs w:val="28"/>
          <w:rtl w:val="0"/>
        </w:rPr>
        <w:t xml:space="preserve">Contexto</w:t>
      </w:r>
      <w:r w:rsidDel="00000000" w:rsidR="00000000" w:rsidRPr="00000000">
        <w:rPr>
          <w:rtl w:val="0"/>
        </w:rPr>
      </w:r>
    </w:p>
    <w:p w:rsidR="00000000" w:rsidDel="00000000" w:rsidP="00000000" w:rsidRDefault="00000000" w:rsidRPr="00000000" w14:paraId="00000009">
      <w:pPr>
        <w:spacing w:after="200" w:line="276" w:lineRule="auto"/>
        <w:jc w:val="both"/>
        <w:rPr/>
      </w:pPr>
      <w:r w:rsidDel="00000000" w:rsidR="00000000" w:rsidRPr="00000000">
        <w:rPr>
          <w:rFonts w:ascii="Calibri" w:cs="Calibri" w:eastAsia="Calibri" w:hAnsi="Calibri"/>
          <w:sz w:val="22"/>
          <w:szCs w:val="22"/>
          <w:rtl w:val="0"/>
        </w:rPr>
        <w:t xml:space="preserve">El área de Tesorería y Contabilidad del Hotel Plaza San Francisco debe conciliar mensualmente la información financiera proveniente de tres fuentes distintas: los reportes de Transbank (Débito, Crédito CLP, Crédito USD y Prepago), el sistema ERP CM SFM (Borderó de ventas) y las cartolas bancarias junto con el control financiero interno. En total, este cruce involucra 6 archivos Excel nativos que hoy se procesan de forma manual.</w:t>
      </w:r>
      <w:r w:rsidDel="00000000" w:rsidR="00000000" w:rsidRPr="00000000">
        <w:rPr>
          <w:rtl w:val="0"/>
        </w:rPr>
      </w:r>
    </w:p>
    <w:p w:rsidR="00000000" w:rsidDel="00000000" w:rsidP="00000000" w:rsidRDefault="00000000" w:rsidRPr="00000000" w14:paraId="0000000A">
      <w:pPr>
        <w:spacing w:after="200" w:line="276" w:lineRule="auto"/>
        <w:jc w:val="both"/>
        <w:rPr/>
      </w:pPr>
      <w:r w:rsidDel="00000000" w:rsidR="00000000" w:rsidRPr="00000000">
        <w:rPr>
          <w:rFonts w:ascii="Calibri" w:cs="Calibri" w:eastAsia="Calibri" w:hAnsi="Calibri"/>
          <w:sz w:val="22"/>
          <w:szCs w:val="22"/>
          <w:rtl w:val="0"/>
        </w:rPr>
        <w:t xml:space="preserve">Actualmente, el Analista de Tesorería y el Contador General revisan línea por línea el Código de Autorización de cada transacción Transbank contra el Número de Documento del ERP, y cruzan además la Cartola Bancaria con el Control Financiero y la Contabilidad ERP (conciliación 3-way match), buscando que la diferencia entre las tres fuentes sea cero. Este proceso manual es lento, propenso a errores y dificulta detectar a tiempo anomalías como errores de tipeo ('0' confundido con 'O'), cuotas diferidas de meses anteriores, notas de crédito, anulaciones o registros eliminados en el ERP.</w:t>
      </w:r>
      <w:r w:rsidDel="00000000" w:rsidR="00000000" w:rsidRPr="00000000">
        <w:rPr>
          <w:rtl w:val="0"/>
        </w:rPr>
      </w:r>
    </w:p>
    <w:p w:rsidR="00000000" w:rsidDel="00000000" w:rsidP="00000000" w:rsidRDefault="00000000" w:rsidRPr="00000000" w14:paraId="0000000B">
      <w:pPr>
        <w:spacing w:after="200" w:line="276" w:lineRule="auto"/>
        <w:jc w:val="both"/>
        <w:rPr/>
      </w:pPr>
      <w:r w:rsidDel="00000000" w:rsidR="00000000" w:rsidRPr="00000000">
        <w:rPr>
          <w:rFonts w:ascii="Calibri" w:cs="Calibri" w:eastAsia="Calibri" w:hAnsi="Calibri"/>
          <w:sz w:val="22"/>
          <w:szCs w:val="22"/>
          <w:rtl w:val="0"/>
        </w:rPr>
        <w:t xml:space="preserve">Como grupo de estudiantes de Ingeniería en Informática de Duoc UC (asignatura Capstone), identificamos en esta problemática una oportunidad real de aplicar nuestras competencias en desarrollo de software, integración de sistemas y modelamiento de bases de datos, proponiendo automatizar este proceso mediante una plataforma web que permita al hotel ahorrar tiempo, reducir errores y tomar decisiones financieras informadas en tiempo real.</w:t>
      </w:r>
      <w:r w:rsidDel="00000000" w:rsidR="00000000" w:rsidRPr="00000000">
        <w:rPr>
          <w:rtl w:val="0"/>
        </w:rPr>
      </w:r>
    </w:p>
    <w:p w:rsidR="00000000" w:rsidDel="00000000" w:rsidP="00000000" w:rsidRDefault="00000000" w:rsidRPr="00000000" w14:paraId="0000000C">
      <w:pPr>
        <w:pStyle w:val="Heading1"/>
        <w:spacing w:after="200" w:before="300" w:lineRule="auto"/>
        <w:rPr/>
      </w:pPr>
      <w:r w:rsidDel="00000000" w:rsidR="00000000" w:rsidRPr="00000000">
        <w:rPr>
          <w:rFonts w:ascii="Calibri" w:cs="Calibri" w:eastAsia="Calibri" w:hAnsi="Calibri"/>
          <w:b w:val="1"/>
          <w:bCs w:val="1"/>
          <w:color w:val="1f4e79"/>
          <w:sz w:val="28"/>
          <w:szCs w:val="28"/>
          <w:rtl w:val="0"/>
        </w:rPr>
        <w:t xml:space="preserve">Modelo de negocio</w:t>
      </w:r>
      <w:r w:rsidDel="00000000" w:rsidR="00000000" w:rsidRPr="00000000">
        <w:rPr>
          <w:rtl w:val="0"/>
        </w:rPr>
      </w:r>
    </w:p>
    <w:p w:rsidR="00000000" w:rsidDel="00000000" w:rsidP="00000000" w:rsidRDefault="00000000" w:rsidRPr="00000000" w14:paraId="0000000D">
      <w:pPr>
        <w:spacing w:after="200" w:line="276" w:lineRule="auto"/>
        <w:jc w:val="both"/>
        <w:rPr/>
      </w:pPr>
      <w:r w:rsidDel="00000000" w:rsidR="00000000" w:rsidRPr="00000000">
        <w:rPr>
          <w:rFonts w:ascii="Calibri" w:cs="Calibri" w:eastAsia="Calibri" w:hAnsi="Calibri"/>
          <w:sz w:val="22"/>
          <w:szCs w:val="22"/>
          <w:rtl w:val="0"/>
        </w:rPr>
        <w:t xml:space="preserve">El Sistema de Conciliación Automatizada 2.0 está pensado como una plataforma web de uso interno para el área de Tesorería, Contabilidad y Auditoría del Hotel Plaza San Francisco, desarrollada sobre una arquitectura desacoplada compuesta por una API en Django REST Framework y una SPA en Angular, con una base de datos relacional PostgreSQL o SQL Server.</w:t>
      </w:r>
      <w:r w:rsidDel="00000000" w:rsidR="00000000" w:rsidRPr="00000000">
        <w:rPr>
          <w:rtl w:val="0"/>
        </w:rPr>
      </w:r>
    </w:p>
    <w:p w:rsidR="00000000" w:rsidDel="00000000" w:rsidP="00000000" w:rsidRDefault="00000000" w:rsidRPr="00000000" w14:paraId="0000000E">
      <w:pPr>
        <w:spacing w:after="200" w:line="276" w:lineRule="auto"/>
        <w:jc w:val="both"/>
        <w:rPr/>
      </w:pPr>
      <w:r w:rsidDel="00000000" w:rsidR="00000000" w:rsidRPr="00000000">
        <w:rPr>
          <w:rFonts w:ascii="Calibri" w:cs="Calibri" w:eastAsia="Calibri" w:hAnsi="Calibri"/>
          <w:sz w:val="22"/>
          <w:szCs w:val="22"/>
          <w:rtl w:val="0"/>
        </w:rPr>
        <w:t xml:space="preserve">El funcionamiento se organiza en torno a seis módulos. El módulo de Ingesta permite cargar los 6 archivos Excel nativos (Transbank Débito/Crédito CLP-USD/Prepago, Borderó ERP CM SFM y Cartola/Control Financiero) sin modificar su estructura original. El Motor de Tarjetas concilia de forma automática los cobros con tarjeta en pesos y dólares, aplicando un margen de tolerancia configurable de $500 a $1.000 CLP y procesando las variaciones propias del tipo de cambio en USD. El Motor Bancario ejecuta la conciliación 3-way match entre la Cartola Bancaria, el Control Financiero y la Contabilidad ERP, evaluando coincidencia de fecha, monto y glosa. El módulo de Excepciones clasifica automáticamente los descuadres detectados (errores de tipeo, cuotas diferidas, notas de crédito o registros borrados). El módulo de Reportería exporta los resultados en Excel y PDF, y el Dashboard entrega una vista ejecutiva de los montos conciliados y pendientes por módulo y tipo de tarjeta.</w:t>
      </w:r>
      <w:r w:rsidDel="00000000" w:rsidR="00000000" w:rsidRPr="00000000">
        <w:rPr>
          <w:rtl w:val="0"/>
        </w:rPr>
      </w:r>
    </w:p>
    <w:p w:rsidR="00000000" w:rsidDel="00000000" w:rsidP="00000000" w:rsidRDefault="00000000" w:rsidRPr="00000000" w14:paraId="0000000F">
      <w:pPr>
        <w:spacing w:after="200" w:line="276" w:lineRule="auto"/>
        <w:jc w:val="both"/>
        <w:rPr/>
      </w:pPr>
      <w:r w:rsidDel="00000000" w:rsidR="00000000" w:rsidRPr="00000000">
        <w:rPr>
          <w:rFonts w:ascii="Calibri" w:cs="Calibri" w:eastAsia="Calibri" w:hAnsi="Calibri"/>
          <w:sz w:val="22"/>
          <w:szCs w:val="22"/>
          <w:rtl w:val="0"/>
        </w:rPr>
        <w:t xml:space="preserve">Al tratarse de una herramienta de uso interno, el modelo de negocio no está orientado a la venta directa a clientes finales, sino a generar valor mediante la reducción de horas/hombre dedicadas a la conciliación manual, la disminución del riesgo de error humano y la entrega de una visión financiera consolidada y trazable para efectos de auditoría.</w:t>
      </w:r>
      <w:r w:rsidDel="00000000" w:rsidR="00000000" w:rsidRPr="00000000">
        <w:rPr>
          <w:rtl w:val="0"/>
        </w:rPr>
      </w:r>
    </w:p>
    <w:p w:rsidR="00000000" w:rsidDel="00000000" w:rsidP="00000000" w:rsidRDefault="00000000" w:rsidRPr="00000000" w14:paraId="00000010">
      <w:pPr>
        <w:spacing w:after="120" w:before="200" w:lineRule="auto"/>
        <w:rPr/>
      </w:pPr>
      <w:r w:rsidDel="00000000" w:rsidR="00000000" w:rsidRPr="00000000">
        <w:rPr>
          <w:rFonts w:ascii="Calibri" w:cs="Calibri" w:eastAsia="Calibri" w:hAnsi="Calibri"/>
          <w:b w:val="1"/>
          <w:bCs w:val="1"/>
          <w:i w:val="1"/>
          <w:iCs w:val="1"/>
          <w:sz w:val="22"/>
          <w:szCs w:val="22"/>
          <w:rtl w:val="0"/>
        </w:rPr>
        <w:t xml:space="preserve">Usuarios principales: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Analista de Tesorería: encargado de cargar los insumos y ejecutar la conciliación de tarjetas.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Contador General: encargado de ejecutar la conciliación bancaria 3-way match y clasificar cuotas diferidas y anulaciones.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Auditor de Finanzas: encargado de exportar reportes de excepciones, visualizar el dashboard de cuadratura y consultar los informes de trazabilidad.</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Administrador del Sistema (TI): encargado de configurar los parámetros de tolerancia monetaria y gestionar usuarios y permisos.</w:t>
      </w:r>
      <w:r w:rsidDel="00000000" w:rsidR="00000000" w:rsidRPr="00000000">
        <w:rPr>
          <w:rtl w:val="0"/>
        </w:rPr>
      </w:r>
    </w:p>
    <w:p w:rsidR="00000000" w:rsidDel="00000000" w:rsidP="00000000" w:rsidRDefault="00000000" w:rsidRPr="00000000" w14:paraId="00000015">
      <w:pPr>
        <w:pStyle w:val="Heading1"/>
        <w:spacing w:after="200" w:before="300" w:lineRule="auto"/>
        <w:rPr/>
      </w:pPr>
      <w:r w:rsidDel="00000000" w:rsidR="00000000" w:rsidRPr="00000000">
        <w:rPr>
          <w:rFonts w:ascii="Calibri" w:cs="Calibri" w:eastAsia="Calibri" w:hAnsi="Calibri"/>
          <w:b w:val="1"/>
          <w:bCs w:val="1"/>
          <w:color w:val="1f4e79"/>
          <w:sz w:val="28"/>
          <w:szCs w:val="28"/>
          <w:rtl w:val="0"/>
        </w:rPr>
        <w:t xml:space="preserve">Problema</w:t>
      </w:r>
      <w:r w:rsidDel="00000000" w:rsidR="00000000" w:rsidRPr="00000000">
        <w:rPr>
          <w:rtl w:val="0"/>
        </w:rPr>
      </w:r>
    </w:p>
    <w:p w:rsidR="00000000" w:rsidDel="00000000" w:rsidP="00000000" w:rsidRDefault="00000000" w:rsidRPr="00000000" w14:paraId="00000016">
      <w:pPr>
        <w:spacing w:after="200" w:line="276" w:lineRule="auto"/>
        <w:jc w:val="both"/>
        <w:rPr/>
      </w:pPr>
      <w:r w:rsidDel="00000000" w:rsidR="00000000" w:rsidRPr="00000000">
        <w:rPr>
          <w:rFonts w:ascii="Calibri" w:cs="Calibri" w:eastAsia="Calibri" w:hAnsi="Calibri"/>
          <w:sz w:val="22"/>
          <w:szCs w:val="22"/>
          <w:rtl w:val="0"/>
        </w:rPr>
        <w:t xml:space="preserve">El proceso de conciliación financiera del Hotel Plaza San Francisco presenta múltiples dificultades derivadas de su naturaleza manual:</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Alto consumo de tiempo: el cruce manual de los 6 archivos Excel (Transbank, ERP CM SFM y cartolas bancarias) consume horas de trabajo del Analista de Tesorería y del Contador General cada mes.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Riesgo elevado de error humano: al ser un proceso manual, es habitual que se produzcan errores de digitación (por ejemplo, confundir '0' con 'O') o de cruce entre planillas.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Excepciones difíciles de identificar: cuotas diferidas de meses previos, notas de crédito, anulaciones y registros eliminados en el ERP suelen pasar inadvertidos o requieren revisión manual exhaustiva.</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Falta de visión consolidada: no existe un dashboard que muestre en tiempo real el porcentaje de calce, los montos abonados y los saldos pendientes, lo que dificulta la toma de decisiones oportuna.</w:t>
      </w:r>
      <w:r w:rsidDel="00000000" w:rsidR="00000000" w:rsidRPr="00000000">
        <w:rPr>
          <w:rtl w:val="0"/>
        </w:rPr>
      </w:r>
    </w:p>
    <w:p w:rsidR="00000000" w:rsidDel="00000000" w:rsidP="00000000" w:rsidRDefault="00000000" w:rsidRPr="00000000" w14:paraId="0000001B">
      <w:pPr>
        <w:spacing w:after="200" w:line="276" w:lineRule="auto"/>
        <w:jc w:val="both"/>
        <w:rPr/>
      </w:pPr>
      <w:r w:rsidDel="00000000" w:rsidR="00000000" w:rsidRPr="00000000">
        <w:rPr>
          <w:rFonts w:ascii="Calibri" w:cs="Calibri" w:eastAsia="Calibri" w:hAnsi="Calibri"/>
          <w:sz w:val="22"/>
          <w:szCs w:val="22"/>
          <w:rtl w:val="0"/>
        </w:rPr>
        <w:t xml:space="preserve">Estas problemáticas generan un impacto directo en la eficiencia operativa del área de Tesorería y Contabilidad, además de exponer al hotel a riesgos de pérdida financiera y a observaciones en las auditorías por descuadres no identificados a tiempo.</w:t>
      </w:r>
      <w:r w:rsidDel="00000000" w:rsidR="00000000" w:rsidRPr="00000000">
        <w:rPr>
          <w:rtl w:val="0"/>
        </w:rPr>
      </w:r>
    </w:p>
    <w:p w:rsidR="00000000" w:rsidDel="00000000" w:rsidP="00000000" w:rsidRDefault="00000000" w:rsidRPr="00000000" w14:paraId="0000001C">
      <w:pPr>
        <w:pStyle w:val="Heading1"/>
        <w:spacing w:after="200" w:before="300" w:lineRule="auto"/>
        <w:rPr/>
      </w:pPr>
      <w:r w:rsidDel="00000000" w:rsidR="00000000" w:rsidRPr="00000000">
        <w:rPr>
          <w:rFonts w:ascii="Calibri" w:cs="Calibri" w:eastAsia="Calibri" w:hAnsi="Calibri"/>
          <w:b w:val="1"/>
          <w:bCs w:val="1"/>
          <w:color w:val="1f4e79"/>
          <w:sz w:val="28"/>
          <w:szCs w:val="28"/>
          <w:rtl w:val="0"/>
        </w:rPr>
        <w:t xml:space="preserve">Solución</w:t>
      </w:r>
      <w:r w:rsidDel="00000000" w:rsidR="00000000" w:rsidRPr="00000000">
        <w:rPr>
          <w:rtl w:val="0"/>
        </w:rPr>
      </w:r>
    </w:p>
    <w:p w:rsidR="00000000" w:rsidDel="00000000" w:rsidP="00000000" w:rsidRDefault="00000000" w:rsidRPr="00000000" w14:paraId="0000001D">
      <w:pPr>
        <w:spacing w:after="200" w:line="276" w:lineRule="auto"/>
        <w:jc w:val="both"/>
        <w:rPr/>
      </w:pPr>
      <w:r w:rsidDel="00000000" w:rsidR="00000000" w:rsidRPr="00000000">
        <w:rPr>
          <w:rFonts w:ascii="Calibri" w:cs="Calibri" w:eastAsia="Calibri" w:hAnsi="Calibri"/>
          <w:sz w:val="22"/>
          <w:szCs w:val="22"/>
          <w:rtl w:val="0"/>
        </w:rPr>
        <w:t xml:space="preserve">Para dar respuesta a esta problemática, se propone el desarrollo de una plataforma web de conciliación automatizada para el Hotel Plaza San Francisco, compuesta por los siguientes módulos: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Ingesta de insumos: carga directa de los 6 archivos Excel nativos generados por Transbank, el ERP CM SFM y el banco, sin modificación previa de su estructura.</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Motor de conciliación de tarjetas: cruce automático entre el Código de Autorización de Transbank y el Documento del ERP, en pesos (con tolerancia configurable de $500 a $1.000 CLP) y en dólares (procesando variaciones de tipo de cambio).</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Motor de conciliación bancaria 3-way match: cruce tripartito entre la Cartola Bancaria, el Control Financiero interno y la Contabilidad ERP, evaluando fecha, monto y glosa hasta lograr diferencia cero.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Clasificación de excepciones: identificación automática de errores de tipeo, cuotas diferidas, notas de crédito/anulaciones y registros borrados en el ERP, con sugerencias tácticas de resolución.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Reportería y dashboard: exportación de reportes de excepciones en Excel y PDF, y visualización de un dashboard ejecutivo con los montos conciliados, pendientes y el porcentaje de calce.</w:t>
      </w:r>
      <w:r w:rsidDel="00000000" w:rsidR="00000000" w:rsidRPr="00000000">
        <w:rPr>
          <w:rtl w:val="0"/>
        </w:rPr>
      </w:r>
    </w:p>
    <w:p w:rsidR="00000000" w:rsidDel="00000000" w:rsidP="00000000" w:rsidRDefault="00000000" w:rsidRPr="00000000" w14:paraId="00000023">
      <w:pPr>
        <w:spacing w:after="200" w:line="276" w:lineRule="auto"/>
        <w:jc w:val="both"/>
        <w:rPr/>
      </w:pPr>
      <w:r w:rsidDel="00000000" w:rsidR="00000000" w:rsidRPr="00000000">
        <w:rPr>
          <w:rFonts w:ascii="Calibri" w:cs="Calibri" w:eastAsia="Calibri" w:hAnsi="Calibri"/>
          <w:sz w:val="22"/>
          <w:szCs w:val="22"/>
          <w:rtl w:val="0"/>
        </w:rPr>
        <w:t xml:space="preserve">Con esta solución se busca reducir drásticamente el tiempo operativo destinado a la conciliación, eliminar los errores de digitación y cruce manual, y entregar al hotel una visión consolidada y confiable de su información financiera para efectos de auditoría.</w:t>
      </w:r>
      <w:r w:rsidDel="00000000" w:rsidR="00000000" w:rsidRPr="00000000">
        <w:rPr>
          <w:rtl w:val="0"/>
        </w:rPr>
      </w:r>
    </w:p>
    <w:p w:rsidR="00000000" w:rsidDel="00000000" w:rsidP="00000000" w:rsidRDefault="00000000" w:rsidRPr="00000000" w14:paraId="00000024">
      <w:pPr>
        <w:spacing w:after="200" w:line="276" w:lineRule="auto"/>
        <w:jc w:val="both"/>
        <w:rPr/>
      </w:pPr>
      <w:r w:rsidDel="00000000" w:rsidR="00000000" w:rsidRPr="00000000">
        <w:rPr>
          <w:rFonts w:ascii="Calibri" w:cs="Calibri" w:eastAsia="Calibri" w:hAnsi="Calibri"/>
          <w:sz w:val="22"/>
          <w:szCs w:val="22"/>
          <w:rtl w:val="0"/>
        </w:rPr>
        <w:t xml:space="preserve">El proyecto se desarrollará bajo una arquitectura desacoplada: backend como API en Django REST Framework y frontend como SPA en Angular, con base de datos relacional PostgreSQL o SQL Server. El código se documentará en un repositorio GitHub público (requisito de revisión docente), con un README profesional que facilite su despliegue tanto en servidores locales como en la nube. El motor de conciliación deberá procesar planillas de hasta 10.000 registros en menos de 30 segundos, y la interfaz debe permitir cargar y visualizar reportes en un máximo de 3 clics.</w:t>
      </w:r>
      <w:r w:rsidDel="00000000" w:rsidR="00000000" w:rsidRPr="00000000">
        <w:rPr>
          <w:rtl w:val="0"/>
        </w:rPr>
      </w:r>
    </w:p>
    <w:p w:rsidR="00000000" w:rsidDel="00000000" w:rsidP="00000000" w:rsidRDefault="00000000" w:rsidRPr="00000000" w14:paraId="00000025">
      <w:pPr>
        <w:pStyle w:val="Heading1"/>
        <w:spacing w:after="200" w:before="300" w:lineRule="auto"/>
        <w:rPr/>
      </w:pPr>
      <w:r w:rsidDel="00000000" w:rsidR="00000000" w:rsidRPr="00000000">
        <w:rPr>
          <w:rFonts w:ascii="Calibri" w:cs="Calibri" w:eastAsia="Calibri" w:hAnsi="Calibri"/>
          <w:b w:val="1"/>
          <w:bCs w:val="1"/>
          <w:color w:val="1f4e79"/>
          <w:sz w:val="28"/>
          <w:szCs w:val="28"/>
          <w:rtl w:val="0"/>
        </w:rPr>
        <w:t xml:space="preserve">Funcionalidades del producto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57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(RF-01) Ingesta masiva de insumos nativos: el sistema debe permitir la carga directa de los 6 archivos Excel generados por Transbank (Débito, Crédito CLP/USD, Prepago), el ERP CM SFM (Borderó) y la Cartola/Control Financiero, sin modificación previa de su estructura.</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57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(RF-02) Conciliación algorítmica de tarjetas (CLP/USD): el sistema debe cruzar automáticamente el Código de Autorización de Transbank con el Documento del ERP, aplicando una tolerancia configurable de $500 a $1.000 CLP y procesando las variaciones por tipo de cambio en operaciones en dólares.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57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(RF-03) Conciliación bancaria 3-way match: el sistema debe cruzar de forma tripartita la Cartola Bancaria, el Control Financiero interno y la Contabilidad ERP, evaluando la coincidencia de fecha, monto y glosa hasta obtener una diferencia igual a cero.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57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(RF-04) Clasificación automática de excepciones: el sistema debe identificar y clasificar errores de tipeo humano ('0' vs 'O'), cuotas diferidas de meses previos, notas de crédito o anulaciones, y registros eliminados en el ERP.</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57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(RF-05) Exportación de reportes y mismatches: el sistema debe generar informes consolidados en Excel y PDF con las transacciones no cuadradas y sugerencias tácticas de resolución para auditoría.</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57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(RF-06) Dashboard ejecutivo de cuadratura: el sistema debe visualizar de forma gráfica los montos conciliados versus los saldos pendientes, por módulo y tipo de tarjeta.</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57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(RF-07) Parametrización y administración: el sistema debe permitir configurar el rango de tolerancia monetaria y las palabras clave de filtrado de glosas bancarias, además de gestionar usuarios y permisos por rol.</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57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sistema debe permitir a todos los usuarios autenticarse mediante nombre de usuario y contraseña, actualizar sus datos y recuperar su contraseña, de acuerdo con su rol (Analista de Tesorería, Contador General, Auditor de Finanzas, Administrador TI).</w:t>
      </w:r>
      <w:r w:rsidDel="00000000" w:rsidR="00000000" w:rsidRPr="00000000">
        <w:rPr>
          <w:rtl w:val="0"/>
        </w:rPr>
      </w:r>
    </w:p>
    <w:p w:rsidR="00000000" w:rsidDel="00000000" w:rsidP="00000000" w:rsidRDefault="00000000" w:rsidRPr="00000000" w14:paraId="0000002E">
      <w:pPr>
        <w:pStyle w:val="Heading1"/>
        <w:spacing w:after="200" w:before="300" w:lineRule="auto"/>
        <w:rPr/>
      </w:pPr>
      <w:r w:rsidDel="00000000" w:rsidR="00000000" w:rsidRPr="00000000">
        <w:rPr>
          <w:rFonts w:ascii="Calibri" w:cs="Calibri" w:eastAsia="Calibri" w:hAnsi="Calibri"/>
          <w:b w:val="1"/>
          <w:bCs w:val="1"/>
          <w:color w:val="1f4e79"/>
          <w:sz w:val="28"/>
          <w:szCs w:val="28"/>
          <w:rtl w:val="0"/>
        </w:rPr>
        <w:t xml:space="preserve">Casos de uso</w:t>
      </w:r>
      <w:r w:rsidDel="00000000" w:rsidR="00000000" w:rsidRPr="00000000">
        <w:rPr>
          <w:rtl w:val="0"/>
        </w:rPr>
      </w:r>
    </w:p>
    <w:p w:rsidR="00000000" w:rsidDel="00000000" w:rsidP="00000000" w:rsidRDefault="00000000" w:rsidRPr="00000000" w14:paraId="0000002F">
      <w:pPr>
        <w:spacing w:after="200" w:line="276" w:lineRule="auto"/>
        <w:jc w:val="both"/>
        <w:rPr/>
      </w:pPr>
      <w:r w:rsidDel="00000000" w:rsidR="00000000" w:rsidRPr="00000000">
        <w:rPr>
          <w:rFonts w:ascii="Calibri" w:cs="Calibri" w:eastAsia="Calibri" w:hAnsi="Calibri"/>
          <w:sz w:val="22"/>
          <w:szCs w:val="22"/>
          <w:rtl w:val="0"/>
        </w:rPr>
        <w:t xml:space="preserve">A continuación se presenta la especificación de los casos de uso identificados para el Sistema de Conciliación Automatizada 2.0, conforme a la especificación formal y los diagramas particulares definidos por el equipo:</w:t>
      </w:r>
      <w:r w:rsidDel="00000000" w:rsidR="00000000" w:rsidRPr="00000000">
        <w:rPr>
          <w:rtl w:val="0"/>
        </w:rPr>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5200"/>
        <w:gridCol w:w="3000"/>
        <w:tblGridChange w:id="0">
          <w:tblGrid>
            <w:gridCol w:w="1600"/>
            <w:gridCol w:w="5200"/>
            <w:gridCol w:w="3000"/>
          </w:tblGrid>
        </w:tblGridChange>
      </w:tblGrid>
      <w:tr>
        <w:trPr>
          <w:cantSplit w:val="0"/>
          <w:tblHeader w:val="1"/>
        </w:trPr>
        <w:tc>
          <w:tcPr>
            <w:shd w:fill="1f4e79" w:val="clear"/>
          </w:tcPr>
          <w:p w:rsidR="00000000" w:rsidDel="00000000" w:rsidP="00000000" w:rsidRDefault="00000000" w:rsidRPr="00000000" w14:paraId="00000030">
            <w:pPr>
              <w:jc w:val="center"/>
              <w:rPr/>
            </w:pPr>
            <w:r w:rsidDel="00000000" w:rsidR="00000000" w:rsidRPr="00000000">
              <w:rPr>
                <w:rFonts w:ascii="Calibri" w:cs="Calibri" w:eastAsia="Calibri" w:hAnsi="Calibri"/>
                <w:b w:val="1"/>
                <w:bCs w:val="1"/>
                <w:color w:val="ffffff"/>
                <w:sz w:val="20"/>
                <w:szCs w:val="20"/>
                <w:rtl w:val="0"/>
              </w:rPr>
              <w:t xml:space="preserve">CU</w:t>
            </w:r>
            <w:r w:rsidDel="00000000" w:rsidR="00000000" w:rsidRPr="00000000">
              <w:rPr>
                <w:rtl w:val="0"/>
              </w:rPr>
            </w:r>
          </w:p>
        </w:tc>
        <w:tc>
          <w:tcPr>
            <w:shd w:fill="1f4e79" w:val="clear"/>
          </w:tcPr>
          <w:p w:rsidR="00000000" w:rsidDel="00000000" w:rsidP="00000000" w:rsidRDefault="00000000" w:rsidRPr="00000000" w14:paraId="00000031">
            <w:pPr>
              <w:jc w:val="center"/>
              <w:rPr/>
            </w:pPr>
            <w:r w:rsidDel="00000000" w:rsidR="00000000" w:rsidRPr="00000000">
              <w:rPr>
                <w:rFonts w:ascii="Calibri" w:cs="Calibri" w:eastAsia="Calibri" w:hAnsi="Calibri"/>
                <w:b w:val="1"/>
                <w:bCs w:val="1"/>
                <w:color w:val="ffffff"/>
                <w:sz w:val="20"/>
                <w:szCs w:val="20"/>
                <w:rtl w:val="0"/>
              </w:rPr>
              <w:t xml:space="preserve">Nombre</w:t>
            </w:r>
            <w:r w:rsidDel="00000000" w:rsidR="00000000" w:rsidRPr="00000000">
              <w:rPr>
                <w:rtl w:val="0"/>
              </w:rPr>
            </w:r>
          </w:p>
        </w:tc>
        <w:tc>
          <w:tcPr>
            <w:shd w:fill="1f4e79" w:val="clear"/>
          </w:tcPr>
          <w:p w:rsidR="00000000" w:rsidDel="00000000" w:rsidP="00000000" w:rsidRDefault="00000000" w:rsidRPr="00000000" w14:paraId="00000032">
            <w:pPr>
              <w:jc w:val="center"/>
              <w:rPr/>
            </w:pPr>
            <w:r w:rsidDel="00000000" w:rsidR="00000000" w:rsidRPr="00000000">
              <w:rPr>
                <w:rFonts w:ascii="Calibri" w:cs="Calibri" w:eastAsia="Calibri" w:hAnsi="Calibri"/>
                <w:b w:val="1"/>
                <w:bCs w:val="1"/>
                <w:color w:val="ffffff"/>
                <w:sz w:val="20"/>
                <w:szCs w:val="20"/>
                <w:rtl w:val="0"/>
              </w:rPr>
              <w:t xml:space="preserve">Actor Involucrado</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Fonts w:ascii="Calibri" w:cs="Calibri" w:eastAsia="Calibri" w:hAnsi="Calibri"/>
                <w:sz w:val="20"/>
                <w:szCs w:val="20"/>
                <w:rtl w:val="0"/>
              </w:rPr>
              <w:t xml:space="preserve">CU-01</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Calibri" w:cs="Calibri" w:eastAsia="Calibri" w:hAnsi="Calibri"/>
                <w:sz w:val="20"/>
                <w:szCs w:val="20"/>
                <w:rtl w:val="0"/>
              </w:rPr>
              <w:t xml:space="preserve">Cargar Insumos Financieros (Excel Nativos)</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Calibri" w:cs="Calibri" w:eastAsia="Calibri" w:hAnsi="Calibri"/>
                <w:sz w:val="20"/>
                <w:szCs w:val="20"/>
                <w:rtl w:val="0"/>
              </w:rPr>
              <w:t xml:space="preserve">Analista de Tesorería / Contador General</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rFonts w:ascii="Calibri" w:cs="Calibri" w:eastAsia="Calibri" w:hAnsi="Calibri"/>
                <w:sz w:val="20"/>
                <w:szCs w:val="20"/>
                <w:rtl w:val="0"/>
              </w:rPr>
              <w:t xml:space="preserve">CU-02</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Calibri" w:cs="Calibri" w:eastAsia="Calibri" w:hAnsi="Calibri"/>
                <w:sz w:val="20"/>
                <w:szCs w:val="20"/>
                <w:rtl w:val="0"/>
              </w:rPr>
              <w:t xml:space="preserve">Ejecutar Conciliación de Tarjetas (CLP / USD)</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Calibri" w:cs="Calibri" w:eastAsia="Calibri" w:hAnsi="Calibri"/>
                <w:sz w:val="20"/>
                <w:szCs w:val="20"/>
                <w:rtl w:val="0"/>
              </w:rPr>
              <w:t xml:space="preserve">Analista de Tesorería</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rFonts w:ascii="Calibri" w:cs="Calibri" w:eastAsia="Calibri" w:hAnsi="Calibri"/>
                <w:sz w:val="20"/>
                <w:szCs w:val="20"/>
                <w:rtl w:val="0"/>
              </w:rPr>
              <w:t xml:space="preserve">CU-03</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Calibri" w:cs="Calibri" w:eastAsia="Calibri" w:hAnsi="Calibri"/>
                <w:sz w:val="20"/>
                <w:szCs w:val="20"/>
                <w:rtl w:val="0"/>
              </w:rPr>
              <w:t xml:space="preserve">Ejecutar Conciliación Bancaria 3-Way Match</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Calibri" w:cs="Calibri" w:eastAsia="Calibri" w:hAnsi="Calibri"/>
                <w:sz w:val="20"/>
                <w:szCs w:val="20"/>
                <w:rtl w:val="0"/>
              </w:rPr>
              <w:t xml:space="preserve">Contador General / Auditor de Finanzas</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Fonts w:ascii="Calibri" w:cs="Calibri" w:eastAsia="Calibri" w:hAnsi="Calibri"/>
                <w:sz w:val="20"/>
                <w:szCs w:val="20"/>
                <w:rtl w:val="0"/>
              </w:rPr>
              <w:t xml:space="preserve">CU-04</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Fonts w:ascii="Calibri" w:cs="Calibri" w:eastAsia="Calibri" w:hAnsi="Calibri"/>
                <w:sz w:val="20"/>
                <w:szCs w:val="20"/>
                <w:rtl w:val="0"/>
              </w:rPr>
              <w:t xml:space="preserve">Clasificar Excepciones y Mismatches</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Calibri" w:cs="Calibri" w:eastAsia="Calibri" w:hAnsi="Calibri"/>
                <w:sz w:val="20"/>
                <w:szCs w:val="20"/>
                <w:rtl w:val="0"/>
              </w:rPr>
              <w:t xml:space="preserve">Analista de Tesorería / Contador General</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rFonts w:ascii="Calibri" w:cs="Calibri" w:eastAsia="Calibri" w:hAnsi="Calibri"/>
                <w:sz w:val="20"/>
                <w:szCs w:val="20"/>
                <w:rtl w:val="0"/>
              </w:rPr>
              <w:t xml:space="preserve">CU-05</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Calibri" w:cs="Calibri" w:eastAsia="Calibri" w:hAnsi="Calibri"/>
                <w:sz w:val="20"/>
                <w:szCs w:val="20"/>
                <w:rtl w:val="0"/>
              </w:rPr>
              <w:t xml:space="preserve">Exportar Reporte de Excepciones</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Calibri" w:cs="Calibri" w:eastAsia="Calibri" w:hAnsi="Calibri"/>
                <w:sz w:val="20"/>
                <w:szCs w:val="20"/>
                <w:rtl w:val="0"/>
              </w:rPr>
              <w:t xml:space="preserve">Contador General</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Fonts w:ascii="Calibri" w:cs="Calibri" w:eastAsia="Calibri" w:hAnsi="Calibri"/>
                <w:sz w:val="20"/>
                <w:szCs w:val="20"/>
                <w:rtl w:val="0"/>
              </w:rPr>
              <w:t xml:space="preserve">CU-06</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Fonts w:ascii="Calibri" w:cs="Calibri" w:eastAsia="Calibri" w:hAnsi="Calibri"/>
                <w:sz w:val="20"/>
                <w:szCs w:val="20"/>
                <w:rtl w:val="0"/>
              </w:rPr>
              <w:t xml:space="preserve">Visualizar Dashboard de Cuadratura y Saldos</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Calibri" w:cs="Calibri" w:eastAsia="Calibri" w:hAnsi="Calibri"/>
                <w:sz w:val="20"/>
                <w:szCs w:val="20"/>
                <w:rtl w:val="0"/>
              </w:rPr>
              <w:t xml:space="preserve">Auditor de Finanzas / Contador General</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rFonts w:ascii="Calibri" w:cs="Calibri" w:eastAsia="Calibri" w:hAnsi="Calibri"/>
                <w:sz w:val="20"/>
                <w:szCs w:val="20"/>
                <w:rtl w:val="0"/>
              </w:rPr>
              <w:t xml:space="preserve">CU-07</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Calibri" w:cs="Calibri" w:eastAsia="Calibri" w:hAnsi="Calibri"/>
                <w:sz w:val="20"/>
                <w:szCs w:val="20"/>
                <w:rtl w:val="0"/>
              </w:rPr>
              <w:t xml:space="preserve">Configurar Parámetros y Tolerancia Monetaria</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Fonts w:ascii="Calibri" w:cs="Calibri" w:eastAsia="Calibri" w:hAnsi="Calibri"/>
                <w:sz w:val="20"/>
                <w:szCs w:val="20"/>
                <w:rtl w:val="0"/>
              </w:rPr>
              <w:t xml:space="preserve">Administrador del Sistema (TI)</w:t>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