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ALKASIK RETENTION DECREE v1.0 FINAL</w:t>
      </w:r>
    </w:p>
    <w:p>
      <w:pPr>
        <w:pStyle w:val="Heading2"/>
      </w:pPr>
      <w:r>
        <w:t>Retention Classes</w:t>
      </w:r>
    </w:p>
    <w:p>
      <w:r>
        <w:t>T0 Raw Data, T1 Information, T2 Knowledge, T3 Lesson, T4 Skill, T5 Capability.</w:t>
      </w:r>
    </w:p>
    <w:p>
      <w:pPr>
        <w:pStyle w:val="Heading2"/>
      </w:pPr>
      <w:r>
        <w:t>Retention Rules</w:t>
      </w:r>
    </w:p>
    <w:p>
      <w:r>
        <w:t>T0/T1 có thời hạn; T3-T5 lưu giữ lâu dài.</w:t>
      </w:r>
    </w:p>
    <w:p>
      <w:pPr>
        <w:pStyle w:val="Heading2"/>
      </w:pPr>
      <w:r>
        <w:t>Dataset Retention</w:t>
      </w:r>
    </w:p>
    <w:p>
      <w:r>
        <w:t>Canonical datasets được bảo vệ; duplicate datasets phải được hợp nhất.</w:t>
      </w:r>
    </w:p>
    <w:p>
      <w:pPr>
        <w:pStyle w:val="Heading2"/>
      </w:pPr>
      <w:r>
        <w:t>Memory Retention</w:t>
      </w:r>
    </w:p>
    <w:p>
      <w:r>
        <w:t>Compaction định kỳ, garbage collection hàng ngày/tuần/tháng.</w:t>
      </w:r>
    </w:p>
    <w:p>
      <w:pPr>
        <w:pStyle w:val="Heading2"/>
      </w:pPr>
      <w:r>
        <w:t>Archive Governance</w:t>
      </w:r>
    </w:p>
    <w:p>
      <w:r>
        <w:t>A0-A4 archive classes.</w:t>
      </w:r>
    </w:p>
    <w:p>
      <w:pPr>
        <w:pStyle w:val="Heading2"/>
      </w:pPr>
      <w:r>
        <w:t>Purge Governance</w:t>
      </w:r>
    </w:p>
    <w:p>
      <w:r>
        <w:t>Chỉ purge theo chính sách và thẩm quyền được quy định.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