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AK_NATIONAL_BUDGET_LAW_v0.1_DRAFT</w:t>
      </w:r>
    </w:p>
    <w:p>
      <w:r>
        <w:rPr>
          <w:b/>
        </w:rPr>
        <w:t>Dự thảo Luật Ngân sách Quốc gia Alkasik Kingdom (AK)</w:t>
        <w:br/>
      </w:r>
    </w:p>
    <w:p>
      <w:pPr>
        <w:pStyle w:val="Heading2"/>
      </w:pPr>
      <w:r>
        <w:t>Mục tiêu</w:t>
      </w:r>
    </w:p>
    <w:p>
      <w:r>
        <w:t>Thiết lập khung pháp lý cho nguồn thu, ngân khố, đầu tư, thuế, phí, dịch vụ số, thương mại điện tử và tài sản số tương lai.</w:t>
      </w:r>
    </w:p>
    <w:p>
      <w:pPr>
        <w:pStyle w:val="Heading2"/>
      </w:pPr>
      <w:r>
        <w:t>Nguyên tắc</w:t>
      </w:r>
    </w:p>
    <w:p>
      <w:r>
        <w:t>Ngân khố Hoàng gia trực thuộc Hùng Vương. Mọi chi tiêu phải được đề xuất và Hùng Vương phê duyệt.</w:t>
      </w:r>
    </w:p>
    <w:p>
      <w:pPr>
        <w:pStyle w:val="Heading2"/>
      </w:pPr>
      <w:r>
        <w:t>Nguồn thu quốc gia</w:t>
      </w:r>
    </w:p>
    <w:p>
      <w:r>
        <w:t>Trading, đầu tư, dịch vụ kỹ thuật số (YouTube, TikTok, nội dung số), bán hàng online, phần mềm, SaaS, nghiên cứu, đào tạo, tư vấn, bản quyền, hạ tầng, dữ liệu, các nguồn hợp pháp khác.</w:t>
      </w:r>
    </w:p>
    <w:p>
      <w:pPr>
        <w:pStyle w:val="Heading2"/>
      </w:pPr>
      <w:r>
        <w:t>Thuế và phí</w:t>
      </w:r>
    </w:p>
    <w:p>
      <w:r>
        <w:t>Dành không gian pháp lý để phát triển hệ thống thuế, phí dịch vụ, phí nền tảng, phí giao dịch và các cơ chế tài chính tương lai.</w:t>
      </w:r>
    </w:p>
    <w:p>
      <w:pPr>
        <w:pStyle w:val="Heading2"/>
      </w:pPr>
      <w:r>
        <w:t>Đầu tư</w:t>
      </w:r>
    </w:p>
    <w:p>
      <w:r>
        <w:t>Iris đề xuất chiến lược đầu tư; Sage đánh giá rủi ro; Hùng Vương phê duyệt.</w:t>
      </w:r>
    </w:p>
    <w:p>
      <w:pPr>
        <w:pStyle w:val="Heading2"/>
      </w:pPr>
      <w:r>
        <w:t>Ngân khố Hoàng gia</w:t>
      </w:r>
    </w:p>
    <w:p>
      <w:r>
        <w:t>Royal Treasury do Hùng Vương quản lý tối cao; mọi tài sản quốc gia được ghi nhận tại đây.</w:t>
      </w:r>
    </w:p>
    <w:p>
      <w:pPr>
        <w:pStyle w:val="Heading2"/>
      </w:pPr>
      <w:r>
        <w:t>Quy trình ngân sách</w:t>
      </w:r>
    </w:p>
    <w:p>
      <w:r>
        <w:t>Đề xuất → Thẩm định (Iris) → Governance Review (Sage) → Điều phối (Janus) → Phê duyệt (Hùng Vương).</w:t>
      </w:r>
    </w:p>
    <w:p>
      <w:pPr>
        <w:pStyle w:val="Heading2"/>
      </w:pPr>
      <w:r>
        <w:t>Quỹ dự phòng</w:t>
      </w:r>
    </w:p>
    <w:p>
      <w:r>
        <w:t>Trích lập Strategic Reserve Fund từ mọi nguồn thu.</w:t>
      </w:r>
    </w:p>
    <w:p>
      <w:pPr>
        <w:pStyle w:val="Heading2"/>
      </w:pPr>
      <w:r>
        <w:t>Tài sản số tương lai</w:t>
      </w:r>
    </w:p>
    <w:p>
      <w:r>
        <w:t>Để ngỏ khả năng phát triển AK Dollar ($AK), AK Coin (AKC) hoặc các công cụ tài chính số khác trong tương lai theo luật riêng.</w:t>
      </w:r>
    </w:p>
    <w:p>
      <w:pPr>
        <w:pStyle w:val="Heading2"/>
      </w:pPr>
      <w:r>
        <w:t>Thẩm quyền</w:t>
      </w:r>
    </w:p>
    <w:p>
      <w:r>
        <w:t>Hùng Vương là cơ quan phê duyệt tối cao đối với mọi hoạt động kinh tế quốc gia.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