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42.png" ContentType="image/png"/>
  <Override PartName="/word/media/rId53.png" ContentType="image/png"/>
  <Override PartName="/word/media/rId56.png" ContentType="image/png"/>
  <Override PartName="/word/media/rId45.png" ContentType="image/png"/>
  <Override PartName="/word/media/rId36.png" ContentType="image/png"/>
  <Override PartName="/word/media/rId48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Аристова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Продолжить ознакомление с языками программирования Julia и OpenModelica.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моделями боевых действий Ланчестера</w:t>
      </w:r>
    </w:p>
    <w:p>
      <w:pPr>
        <w:pStyle w:val="Compact"/>
        <w:numPr>
          <w:ilvl w:val="0"/>
          <w:numId w:val="1001"/>
        </w:numPr>
      </w:pPr>
      <w:r>
        <w:t xml:space="preserve">Решить задачу на тему «Модель боевых действий»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вариант-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Вариант 4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w:r>
        <w:t xml:space="preserve">x(t) и y(t). В начальный момент времени страна Х имеет армию численностью 35 000 человек, а</w:t>
      </w:r>
      <w:r>
        <w:t xml:space="preserve"> </w:t>
      </w:r>
      <w:r>
        <w:t xml:space="preserve">в распоряжении страны У армия численностью в 49 000 человек. Для упрощения</w:t>
      </w:r>
      <w:r>
        <w:t xml:space="preserve"> </w:t>
      </w:r>
      <w:r>
        <w:t xml:space="preserve">модели считаем, что коэффициенты a, b, c и h постоянны. Также считаем</w:t>
      </w:r>
      <w:r>
        <w:t xml:space="preserve"> </w:t>
      </w:r>
      <w:r>
        <w:t xml:space="preserve">P(t) и Q(t) - 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2"/>
        </w:numPr>
      </w:pPr>
      <w:r>
        <w:t xml:space="preserve">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0.55</m:t>
          </m:r>
          <m:r>
            <m:rPr>
              <m:sty m:val="p"/>
            </m:rPr>
            <m:t>*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0.9</m:t>
          </m:r>
          <m:r>
            <m:rPr>
              <m:sty m:val="p"/>
            </m:rPr>
            <m:t>*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*</m:t>
          </m:r>
          <m:d>
            <m:dPr>
              <m:begChr m:val="|"/>
              <m:endChr m:val="|"/>
              <m:sepChr m:val=""/>
              <m:grow/>
            </m:dPr>
            <m:e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0.8</m:t>
          </m:r>
          <m:r>
            <m:rPr>
              <m:sty m:val="p"/>
            </m:rPr>
            <m:t>*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0.63</m:t>
          </m:r>
          <m:r>
            <m:rPr>
              <m:sty m:val="p"/>
            </m:rPr>
            <m:t>*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13</m:t>
              </m:r>
              <m:r>
                <m:rPr>
                  <m:sty m:val="p"/>
                </m:rPr>
                <m:t>*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numPr>
          <w:ilvl w:val="0"/>
          <w:numId w:val="1002"/>
        </w:numPr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0.35</m:t>
          </m:r>
          <m:r>
            <m:rPr>
              <m:sty m:val="p"/>
            </m:rPr>
            <m:t>*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0.46</m:t>
          </m:r>
          <m:r>
            <m:rPr>
              <m:sty m:val="p"/>
            </m:rPr>
            <m:t>*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1.5</m:t>
          </m:r>
          <m:r>
            <m:rPr>
              <m:sty m:val="p"/>
            </m:rPr>
            <m:t>*</m:t>
          </m:r>
          <m:d>
            <m:dPr>
              <m:begChr m:val="|"/>
              <m:endChr m:val="|"/>
              <m:sepChr m:val=""/>
              <m:grow/>
            </m:dPr>
            <m:e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</m:t>
          </m:r>
          <m:r>
            <m:rPr>
              <m:sty m:val="p"/>
            </m:rPr>
            <m:t>*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*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0.6</m:t>
          </m:r>
          <m:r>
            <m:rPr>
              <m:sty m:val="p"/>
            </m:rPr>
            <m:t>*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  <m:r>
                <m:rPr>
                  <m:sty m:val="p"/>
                </m:rPr>
                <m:t>*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bookmarkEnd w:id="21"/>
    <w:bookmarkEnd w:id="22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3" w:name="о-языках-программирова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 языках программирования</w:t>
      </w:r>
    </w:p>
    <w:p>
      <w:pPr>
        <w:pStyle w:val="FirstParagraph"/>
      </w:pPr>
      <w:r>
        <w:t xml:space="preserve">Julia – высокоуровневый язык, который разработан для научного программирования. Язык поддерживает широкий функционал для математических вычислений и работы с</w:t>
      </w:r>
      <w:r>
        <w:t xml:space="preserve"> </w:t>
      </w:r>
      <w:r>
        <w:t xml:space="preserve">большими массивами данных[1].</w:t>
      </w:r>
    </w:p>
    <w:p>
      <w:pPr>
        <w:pStyle w:val="BodyText"/>
      </w:pPr>
      <w:r>
        <w:t xml:space="preserve">OpenModelica — свободное открытое программное обеспечение для моделирования, симуляции, оптимизации и анализа сложных динамических систем.</w:t>
      </w:r>
      <w:r>
        <w:t xml:space="preserve"> </w:t>
      </w:r>
      <w:r>
        <w:t xml:space="preserve">Основано на языке Modelica. Активно развивается Open Source Modelica Consortium, некоммерческой неправительственной организацией. Open Source Modelica</w:t>
      </w:r>
      <w:r>
        <w:t xml:space="preserve"> </w:t>
      </w:r>
      <w:r>
        <w:t xml:space="preserve">Consortium является совместным проектом RISE SICS East AB и Линчёпингского университета. По своим возможностям приближается к таким вычислительным средам как</w:t>
      </w:r>
      <w:r>
        <w:t xml:space="preserve"> </w:t>
      </w:r>
      <w:r>
        <w:t xml:space="preserve">Matlab Simulink, Scilab xCos, имея при этом значительно более удобное представление системы уравнений исследуемого блока [2].</w:t>
      </w:r>
    </w:p>
    <w:bookmarkEnd w:id="23"/>
    <w:bookmarkStart w:id="24" w:name="математическая-состаляюща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Математическая состаляющая</w:t>
      </w:r>
    </w:p>
    <w:p>
      <w:pPr>
        <w:pStyle w:val="FirstParagraph"/>
      </w:pPr>
      <w:r>
        <w:t xml:space="preserve">Законы Ланчестера (законы Осипова — Ланчестера) —</w:t>
      </w:r>
      <w:r>
        <w:t xml:space="preserve"> </w:t>
      </w:r>
      <w:r>
        <w:t xml:space="preserve">математическая формула для расчета относительных сил пары сражающихся сторон — подразделений вооруженных сил.</w:t>
      </w:r>
      <w:r>
        <w:t xml:space="preserve"> </w:t>
      </w:r>
      <w:r>
        <w:t xml:space="preserve">Уравнения Ланчестера — это дифференциальные уравнения,</w:t>
      </w:r>
      <w:r>
        <w:t xml:space="preserve"> </w:t>
      </w:r>
      <w:r>
        <w:t xml:space="preserve">описывающие зависимость между силами сражающихся сторон A и D как функцию от времени, причем функция зависит только от A и D [3].</w:t>
      </w:r>
    </w:p>
    <w:p>
      <w:pPr>
        <w:pStyle w:val="BodyText"/>
      </w:pPr>
      <w:r>
        <w:t xml:space="preserve">В 1916 году, в разгар первой мировой войны,</w:t>
      </w:r>
      <w:r>
        <w:t xml:space="preserve"> </w:t>
      </w:r>
      <w:r>
        <w:t xml:space="preserve">Фредерик Ланчестер разработал систему дифференциальных уравнений для демонстрации соотношения между противостоящими силами.</w:t>
      </w:r>
      <w:r>
        <w:t xml:space="preserve"> </w:t>
      </w:r>
      <w:r>
        <w:t xml:space="preserve">Среди них есть так называемые Линейные законы Ланчестера (первого рода или честного боя, для рукопашного боя или неприцельного огня)</w:t>
      </w:r>
      <w:r>
        <w:t xml:space="preserve"> </w:t>
      </w:r>
      <w:r>
        <w:t xml:space="preserve">и Квадратичные законы Ланчестера (для войн начиная с XX века с применением прицельного огня, дальнобойных орудий, огнестрельного оружия).</w:t>
      </w:r>
      <w:r>
        <w:t xml:space="preserve"> </w:t>
      </w:r>
      <w:r>
        <w:t xml:space="preserve">В связи с установленным приоритетом в англоязычной литературе наметилась тенденция перехода от фразы «модель Ланчестера» к «модели Осипова — Ланчестера» [4].</w:t>
      </w:r>
    </w:p>
    <w:p>
      <w:pPr>
        <w:pStyle w:val="BodyText"/>
      </w:pP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  <w:r>
        <w:t xml:space="preserve"> </w:t>
      </w:r>
      <w:r>
        <w:t xml:space="preserve">Не смотря на то, что модель сильно идеализирована и не применима к реальной ситуации и жизни, однако может применяться для начального анализа и при том быть очень полезна [3,4].</w:t>
      </w:r>
    </w:p>
    <w:bookmarkEnd w:id="24"/>
    <w:bookmarkEnd w:id="25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математическая-модель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Математическая модель</w:t>
      </w:r>
    </w:p>
    <w:p>
      <w:pPr>
        <w:pStyle w:val="FirstParagraph"/>
      </w:pPr>
      <w:r>
        <w:t xml:space="preserve">Рассматриываются три случая ведения боевых действий:</w:t>
      </w:r>
    </w:p>
    <w:p>
      <w:pPr>
        <w:numPr>
          <w:ilvl w:val="0"/>
          <w:numId w:val="1003"/>
        </w:numPr>
      </w:pPr>
      <w:r>
        <w:t xml:space="preserve">Боевые действия между регулярными войсками</w:t>
      </w:r>
    </w:p>
    <w:p>
      <w:pPr>
        <w:numPr>
          <w:ilvl w:val="0"/>
          <w:numId w:val="1003"/>
        </w:numPr>
      </w:pPr>
      <w:r>
        <w:t xml:space="preserve">Боевые действия с участием регулярных войск и партизанских</w:t>
      </w:r>
      <w:r>
        <w:t xml:space="preserve"> </w:t>
      </w:r>
      <w:r>
        <w:t xml:space="preserve">отрядов</w:t>
      </w:r>
    </w:p>
    <w:p>
      <w:pPr>
        <w:numPr>
          <w:ilvl w:val="0"/>
          <w:numId w:val="1003"/>
        </w:numPr>
      </w:pPr>
      <w:r>
        <w:t xml:space="preserve">Боевые действия между партизанскими отрядами</w:t>
      </w:r>
    </w:p>
    <w:p>
      <w:pPr>
        <w:pStyle w:val="FirstParagraph"/>
      </w:pPr>
      <w:r>
        <w:t xml:space="preserve">В</w:t>
      </w:r>
      <w:r>
        <w:t xml:space="preserve"> </w:t>
      </w:r>
      <w:r>
        <w:rPr>
          <w:b/>
          <w:bCs/>
          <w:i/>
          <w:iCs/>
        </w:rPr>
        <w:t xml:space="preserve">первом</w:t>
      </w:r>
      <w:r>
        <w:t xml:space="preserve"> </w:t>
      </w:r>
      <w:r>
        <w:t xml:space="preserve">случае численность регулярных войск определяется тремя</w:t>
      </w:r>
      <w:r>
        <w:t xml:space="preserve"> </w:t>
      </w:r>
      <w:r>
        <w:t xml:space="preserve">факторами:</w:t>
      </w:r>
    </w:p>
    <w:p>
      <w:pPr>
        <w:numPr>
          <w:ilvl w:val="0"/>
          <w:numId w:val="1004"/>
        </w:numPr>
      </w:pPr>
      <w:r>
        <w:t xml:space="preserve">скорость уменьшения численности войск из-за причин, не связанных с</w:t>
      </w:r>
      <w:r>
        <w:t xml:space="preserve"> </w:t>
      </w:r>
      <w:r>
        <w:t xml:space="preserve">боевыми действиями (болезни, травмы, дезертирство);</w:t>
      </w:r>
    </w:p>
    <w:p>
      <w:pPr>
        <w:numPr>
          <w:ilvl w:val="0"/>
          <w:numId w:val="1004"/>
        </w:numPr>
      </w:pPr>
      <w:r>
        <w:t xml:space="preserve">скорость потерь, обусловленных боевыми действиями</w:t>
      </w:r>
      <w:r>
        <w:t xml:space="preserve"> </w:t>
      </w:r>
      <w:r>
        <w:t xml:space="preserve">противоборствующих сторон (что связанно с качеством стратегии,</w:t>
      </w:r>
      <w:r>
        <w:t xml:space="preserve"> </w:t>
      </w:r>
      <w:r>
        <w:t xml:space="preserve">уровнем вооружения, профессионализмом солдат и т.п.);</w:t>
      </w:r>
    </w:p>
    <w:p>
      <w:pPr>
        <w:numPr>
          <w:ilvl w:val="0"/>
          <w:numId w:val="1004"/>
        </w:numPr>
      </w:pPr>
      <w:r>
        <w:t xml:space="preserve">скорость поступления подкрепления (задаётся некоторой функцией от</w:t>
      </w:r>
      <w:r>
        <w:t xml:space="preserve"> </w:t>
      </w:r>
      <w:r>
        <w:t xml:space="preserve">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</w:t>
      </w:r>
      <w:r>
        <w:t xml:space="preserve"> </w:t>
      </w:r>
      <w:r>
        <w:t xml:space="preserve">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*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*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*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*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*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,</m:t>
          </m:r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*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Следующие члены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*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,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*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отражают потери на поле боя.</w:t>
      </w:r>
      <w:r>
        <w:t xml:space="preserve"> </w:t>
      </w:r>
      <w:r>
        <w:t xml:space="preserve">Коэффициенты b(t) и c(t) указывают на эффективность боевых действий со</w:t>
      </w:r>
      <w:r>
        <w:t xml:space="preserve"> </w:t>
      </w:r>
      <w:r>
        <w:t xml:space="preserve">стороны у и х соответственно,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,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- величины, характеризующие степень</w:t>
      </w:r>
      <w:r>
        <w:t xml:space="preserve"> </w:t>
      </w:r>
      <w:r>
        <w:t xml:space="preserve">влияния различных факторов на потери. Функции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,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учитывают</w:t>
      </w:r>
      <w:r>
        <w:t xml:space="preserve"> </w:t>
      </w:r>
      <w:r>
        <w:t xml:space="preserve">возможность подхода подкрепления к войскам Х и У в течение одного дня</w:t>
      </w:r>
    </w:p>
    <w:p>
      <w:pPr>
        <w:pStyle w:val="BodyText"/>
      </w:pPr>
      <w:r>
        <w:t xml:space="preserve">Во</w:t>
      </w:r>
      <w:r>
        <w:t xml:space="preserve"> </w:t>
      </w:r>
      <w:r>
        <w:rPr>
          <w:b/>
          <w:bCs/>
          <w:i/>
          <w:iCs/>
        </w:rPr>
        <w:t xml:space="preserve">втором</w:t>
      </w:r>
      <w:r>
        <w:t xml:space="preserve"> </w:t>
      </w:r>
      <w:r>
        <w:t xml:space="preserve">случае в борьбу добавляются партизанские отряды. Нерегулярные</w:t>
      </w:r>
      <w:r>
        <w:t xml:space="preserve"> </w:t>
      </w:r>
      <w:r>
        <w:t xml:space="preserve">войска в отличии от постоянной армии менее уязвимы, так как действуют скрытно,</w:t>
      </w:r>
      <w:r>
        <w:t xml:space="preserve"> </w:t>
      </w:r>
      <w:r>
        <w:t xml:space="preserve">в этом случае сопернику приходится действовать неизбирательно, по площадям,</w:t>
      </w:r>
      <w:r>
        <w:t xml:space="preserve"> </w:t>
      </w:r>
      <w:r>
        <w:t xml:space="preserve">занимаемым партизанами. Поэтому считается, что тем потерь партизан,</w:t>
      </w:r>
      <w:r>
        <w:t xml:space="preserve"> </w:t>
      </w:r>
      <w:r>
        <w:t xml:space="preserve">проводящих свои операции в разных местах на некоторой известной территории,</w:t>
      </w:r>
      <w:r>
        <w:t xml:space="preserve"> </w:t>
      </w:r>
      <w:r>
        <w:t xml:space="preserve">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*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*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*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*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*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</w:t>
      </w:r>
      <w:r>
        <w:t xml:space="preserve"> </w:t>
      </w:r>
      <w:r>
        <w:t xml:space="preserve">предположений, сделанном в предыдущем случаем, имеет вид (</w:t>
      </w:r>
      <w:r>
        <w:rPr>
          <w:b/>
          <w:bCs/>
          <w:i/>
          <w:iCs/>
        </w:rPr>
        <w:t xml:space="preserve">третий случай</w:t>
      </w:r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*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*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*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*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*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*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bookmarkEnd w:id="26"/>
    <w:bookmarkStart w:id="51" w:name="решение-задачи-в-программной-среде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 задачи в программной среде</w:t>
      </w:r>
    </w:p>
    <w:p>
      <w:pPr>
        <w:pStyle w:val="FirstParagraph"/>
      </w:pPr>
      <w:r>
        <w:t xml:space="preserve">Мой вариант лабораторной работы: 4. Я получила его по заданной формуле: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Рисунок 1. Определение варианта.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Рисунок 1. Определение варианта.</w:t>
      </w:r>
    </w:p>
    <w:p>
      <w:pPr>
        <w:pStyle w:val="BodyText"/>
      </w:pPr>
      <w:r>
        <w:t xml:space="preserve">Для решения данной лабораторной работы мною я писала код на языке Julia, среду для него я устанавливала ранее, это Вы можете найти в описании, докладе и презентации к Лабораторной работе Также для решения данной лабораторной работы мне необходимо установить среду разработки OpenModelica. Я сделала это:</w:t>
      </w:r>
    </w:p>
    <w:p>
      <w:pPr>
        <w:pStyle w:val="CaptionedFigure"/>
      </w:pPr>
      <w:r>
        <w:drawing>
          <wp:inline>
            <wp:extent cx="3733800" cy="2930703"/>
            <wp:effectExtent b="0" l="0" r="0" t="0"/>
            <wp:docPr descr="Рисунок 2. Установка OpenModelica.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Рисунок 2. Установка OpenModelica.</w:t>
      </w:r>
    </w:p>
    <w:p>
      <w:pPr>
        <w:pStyle w:val="BodyText"/>
      </w:pPr>
      <w:r>
        <w:t xml:space="preserve">Затем я ознакомилась с интерфейсом и функционалом OpenModelica:</w:t>
      </w:r>
    </w:p>
    <w:p>
      <w:pPr>
        <w:pStyle w:val="CaptionedFigure"/>
      </w:pPr>
      <w:r>
        <w:drawing>
          <wp:inline>
            <wp:extent cx="3733800" cy="2656144"/>
            <wp:effectExtent b="0" l="0" r="0" t="0"/>
            <wp:docPr descr="Рисунок 3. Вид OpenModelica.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Рисунок 3. Вид OpenModelica.</w:t>
      </w:r>
    </w:p>
    <w:p>
      <w:pPr>
        <w:pStyle w:val="BodyText"/>
      </w:pPr>
      <w:r>
        <w:t xml:space="preserve">Затем я написала код для получения необходимых графиков.</w:t>
      </w:r>
    </w:p>
    <w:p>
      <w:pPr>
        <w:pStyle w:val="BodyText"/>
      </w:pPr>
      <w:r>
        <w:t xml:space="preserve">Вот листинг кода для получения первой модели:</w:t>
      </w:r>
    </w:p>
    <w:p>
      <w:pPr>
        <w:pStyle w:val="SourceCode"/>
      </w:pPr>
      <w:r>
        <w:rPr>
          <w:rStyle w:val="VerbatimChar"/>
        </w:rPr>
        <w:t xml:space="preserve">model lab03_1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br/>
      </w:r>
      <w:r>
        <w:rPr>
          <w:rStyle w:val="VerbatimChar"/>
        </w:rPr>
        <w:t xml:space="preserve">Real a = 0.55;</w:t>
      </w:r>
      <w:r>
        <w:br/>
      </w:r>
      <w:r>
        <w:rPr>
          <w:rStyle w:val="VerbatimChar"/>
        </w:rPr>
        <w:t xml:space="preserve">Real b = 0.9;</w:t>
      </w:r>
      <w:r>
        <w:br/>
      </w:r>
      <w:r>
        <w:rPr>
          <w:rStyle w:val="VerbatimChar"/>
        </w:rPr>
        <w:t xml:space="preserve">Real c = 0.8;</w:t>
      </w:r>
      <w:r>
        <w:br/>
      </w:r>
      <w:r>
        <w:rPr>
          <w:rStyle w:val="VerbatimChar"/>
        </w:rPr>
        <w:t xml:space="preserve">Real h = 0.63;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35000;</w:t>
      </w:r>
      <w:r>
        <w:br/>
      </w:r>
      <w:r>
        <w:rPr>
          <w:rStyle w:val="VerbatimChar"/>
        </w:rPr>
        <w:t xml:space="preserve">y = 49000;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-a*x - b*y + 2*abs(sin(t));</w:t>
      </w:r>
      <w:r>
        <w:br/>
      </w:r>
      <w:r>
        <w:rPr>
          <w:rStyle w:val="VerbatimChar"/>
        </w:rPr>
        <w:t xml:space="preserve">der(y) = -c*x - h*y + cos(13*t) + 1;</w:t>
      </w:r>
      <w:r>
        <w:br/>
      </w:r>
      <w:r>
        <w:br/>
      </w:r>
      <w:r>
        <w:rPr>
          <w:rStyle w:val="VerbatimChar"/>
        </w:rPr>
        <w:t xml:space="preserve">end lab03_1;</w:t>
      </w:r>
    </w:p>
    <w:p>
      <w:pPr>
        <w:pStyle w:val="FirstParagraph"/>
      </w:pPr>
      <w:r>
        <w:t xml:space="preserve">Вот листинг кода для получения второй модели:</w:t>
      </w:r>
    </w:p>
    <w:p>
      <w:pPr>
        <w:pStyle w:val="SourceCode"/>
      </w:pPr>
      <w:r>
        <w:rPr>
          <w:rStyle w:val="VerbatimChar"/>
        </w:rPr>
        <w:t xml:space="preserve">model lab03_2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br/>
      </w:r>
      <w:r>
        <w:rPr>
          <w:rStyle w:val="VerbatimChar"/>
        </w:rPr>
        <w:t xml:space="preserve">Real a = 0.35;</w:t>
      </w:r>
      <w:r>
        <w:br/>
      </w:r>
      <w:r>
        <w:rPr>
          <w:rStyle w:val="VerbatimChar"/>
        </w:rPr>
        <w:t xml:space="preserve">Real b = 0.46;</w:t>
      </w:r>
      <w:r>
        <w:br/>
      </w:r>
      <w:r>
        <w:rPr>
          <w:rStyle w:val="VerbatimChar"/>
        </w:rPr>
        <w:t xml:space="preserve">Real c = 0.2;</w:t>
      </w:r>
      <w:r>
        <w:br/>
      </w:r>
      <w:r>
        <w:rPr>
          <w:rStyle w:val="VerbatimChar"/>
        </w:rPr>
        <w:t xml:space="preserve">Real d = 0.6;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35000;</w:t>
      </w:r>
      <w:r>
        <w:br/>
      </w:r>
      <w:r>
        <w:rPr>
          <w:rStyle w:val="VerbatimChar"/>
        </w:rPr>
        <w:t xml:space="preserve">y = 49000;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- b*y + 1.5*abs(sin(2*t));</w:t>
      </w:r>
      <w:r>
        <w:br/>
      </w:r>
      <w:r>
        <w:rPr>
          <w:rStyle w:val="VerbatimChar"/>
        </w:rPr>
        <w:t xml:space="preserve">der(y) = -c*x*y - d*y + cos(0.5*t)+1;</w:t>
      </w:r>
      <w:r>
        <w:br/>
      </w:r>
      <w:r>
        <w:rPr>
          <w:rStyle w:val="VerbatimChar"/>
        </w:rPr>
        <w:t xml:space="preserve">end lab03_2;</w:t>
      </w:r>
    </w:p>
    <w:p>
      <w:pPr>
        <w:pStyle w:val="FirstParagraph"/>
      </w:pPr>
      <w:r>
        <w:t xml:space="preserve">Затем я сохранила полученные мной результаты в изображения.</w:t>
      </w:r>
    </w:p>
    <w:p>
      <w:pPr>
        <w:pStyle w:val="CaptionedFigure"/>
      </w:pPr>
      <w:r>
        <w:drawing>
          <wp:inline>
            <wp:extent cx="3733800" cy="1357955"/>
            <wp:effectExtent b="0" l="0" r="0" t="0"/>
            <wp:docPr descr="Рисунок 4. Полученный с помощью OpenModelica результат для первого случая." title="" id="37" name="Picture"/>
            <a:graphic>
              <a:graphicData uri="http://schemas.openxmlformats.org/drawingml/2006/picture">
                <pic:pic>
                  <pic:nvPicPr>
                    <pic:cNvPr descr="image/lab03_1om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7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Рисунок 4. Полученный с помощью OpenModelica результат для первого случая.</w:t>
      </w:r>
    </w:p>
    <w:p>
      <w:pPr>
        <w:pStyle w:val="CaptionedFigure"/>
      </w:pPr>
      <w:r>
        <w:drawing>
          <wp:inline>
            <wp:extent cx="3733800" cy="1357955"/>
            <wp:effectExtent b="0" l="0" r="0" t="0"/>
            <wp:docPr descr="Рисунок 5. Полученный с помощью OpenModelica результат для второго случая." title="" id="40" name="Picture"/>
            <a:graphic>
              <a:graphicData uri="http://schemas.openxmlformats.org/drawingml/2006/picture">
                <pic:pic>
                  <pic:nvPicPr>
                    <pic:cNvPr descr="image/lab03_2om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7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Рисунок 5. Полученный с помощью OpenModelica результат для второго случая.</w:t>
      </w:r>
    </w:p>
    <w:p>
      <w:pPr>
        <w:pStyle w:val="BodyText"/>
      </w:pPr>
      <w:r>
        <w:t xml:space="preserve">Затем я приступила к написанию программы на языке Julia. Вот её листинг: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Plots;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DifferentialEquations;</w:t>
      </w:r>
      <w:r>
        <w:br/>
      </w:r>
      <w:r>
        <w:br/>
      </w:r>
      <w:r>
        <w:rPr>
          <w:rStyle w:val="CommentTok"/>
        </w:rPr>
        <w:t xml:space="preserve"># Функция, представляющие наши ДУ. Случай 1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(t))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Функция, представляющие наши ДУ. Случай 2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Необходимые константы: количество людей, промежутки для обоих случаев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people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</w:t>
      </w:r>
      <w:r>
        <w:rPr>
          <w:rStyle w:val="FloatTok"/>
        </w:rPr>
        <w:t xml:space="preserve">35000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49000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Задаем проблемы(задачи) для обоих случаев</w:t>
      </w:r>
      <w:r>
        <w:br/>
      </w:r>
      <w:r>
        <w:rPr>
          <w:rStyle w:val="NormalTok"/>
        </w:rPr>
        <w:t xml:space="preserve">problem1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(first, people, prom1)</w:t>
      </w:r>
      <w:r>
        <w:br/>
      </w:r>
      <w:r>
        <w:rPr>
          <w:rStyle w:val="NormalTok"/>
        </w:rPr>
        <w:t xml:space="preserve">problem2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(second, people, prom2)</w:t>
      </w:r>
      <w:r>
        <w:br/>
      </w:r>
      <w:r>
        <w:br/>
      </w:r>
      <w:r>
        <w:rPr>
          <w:rStyle w:val="CommentTok"/>
        </w:rPr>
        <w:t xml:space="preserve"># Решения для обоих случаев</w:t>
      </w:r>
      <w:r>
        <w:br/>
      </w:r>
      <w:r>
        <w:rPr>
          <w:rStyle w:val="NormalTok"/>
        </w:rPr>
        <w:t xml:space="preserve">result1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(problem1,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(problem2,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0.000001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Данные массивы будут хранить численность x (A11, A21), численность y(A12,A22) в момент времени t (T1, T2)</w:t>
      </w:r>
      <w:r>
        <w:br/>
      </w:r>
      <w:r>
        <w:rPr>
          <w:rStyle w:val="NormalTok"/>
        </w:rPr>
        <w:t xml:space="preserve">A11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result1.u]</w:t>
      </w:r>
      <w:r>
        <w:br/>
      </w:r>
      <w:r>
        <w:rPr>
          <w:rStyle w:val="NormalTok"/>
        </w:rPr>
        <w:t xml:space="preserve">A12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result1.u]</w:t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result1.t]</w:t>
      </w:r>
      <w:r>
        <w:br/>
      </w:r>
      <w:r>
        <w:rPr>
          <w:rStyle w:val="NormalTok"/>
        </w:rPr>
        <w:t xml:space="preserve">A21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result2.u]</w:t>
      </w:r>
      <w:r>
        <w:br/>
      </w:r>
      <w:r>
        <w:rPr>
          <w:rStyle w:val="NormalTok"/>
        </w:rPr>
        <w:t xml:space="preserve">A22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result2.u]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result2.t]</w:t>
      </w:r>
      <w:r>
        <w:br/>
      </w:r>
      <w:r>
        <w:br/>
      </w:r>
      <w:r>
        <w:rPr>
          <w:rStyle w:val="CommentTok"/>
        </w:rPr>
        <w:t xml:space="preserve"># Создаю холст 1</w:t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bg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lightgrey)</w:t>
      </w:r>
      <w:r>
        <w:br/>
      </w:r>
      <w:r>
        <w:br/>
      </w:r>
      <w:r>
        <w:rPr>
          <w:rStyle w:val="CommentTok"/>
        </w:rPr>
        <w:t xml:space="preserve"># Настраиваю холст 1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(plt1,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боевых действий. Случай 1"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best, lw</w:t>
      </w:r>
      <w:r>
        <w:rPr>
          <w:rStyle w:val="OperatorTok"/>
        </w:rPr>
        <w:t xml:space="preserve">=: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(plt1, T1, A11,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армии X"</w:t>
      </w:r>
      <w:r>
        <w:rPr>
          <w:rStyle w:val="NormalTok"/>
        </w:rPr>
        <w:t xml:space="preserve">,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(plt1, T1, A12,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армии Y"</w:t>
      </w:r>
      <w:r>
        <w:rPr>
          <w:rStyle w:val="NormalTok"/>
        </w:rPr>
        <w:t xml:space="preserve">,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green)</w:t>
      </w:r>
      <w:r>
        <w:br/>
      </w:r>
      <w:r>
        <w:br/>
      </w:r>
      <w:r>
        <w:rPr>
          <w:rStyle w:val="CommentTok"/>
        </w:rPr>
        <w:t xml:space="preserve"># Сохраняю результат в файл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"lab03_1.png"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Создаю холст 2</w:t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1200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bg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lightgrey)</w:t>
      </w:r>
      <w:r>
        <w:br/>
      </w:r>
      <w:r>
        <w:br/>
      </w:r>
      <w:r>
        <w:rPr>
          <w:rStyle w:val="CommentTok"/>
        </w:rPr>
        <w:t xml:space="preserve"># Настраиваю холст 2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(plt2,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боевых действий. Случай 2"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best, lw</w:t>
      </w:r>
      <w:r>
        <w:rPr>
          <w:rStyle w:val="OperatorTok"/>
        </w:rPr>
        <w:t xml:space="preserve">=: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(plt2, T2, A21,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армии X"</w:t>
      </w:r>
      <w:r>
        <w:rPr>
          <w:rStyle w:val="NormalTok"/>
        </w:rPr>
        <w:t xml:space="preserve">,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(plt2, T2, A22,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армии Y"</w:t>
      </w:r>
      <w:r>
        <w:rPr>
          <w:rStyle w:val="NormalTok"/>
        </w:rPr>
        <w:t xml:space="preserve">,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green)</w:t>
      </w:r>
      <w:r>
        <w:br/>
      </w:r>
      <w:r>
        <w:br/>
      </w:r>
      <w:r>
        <w:rPr>
          <w:rStyle w:val="CommentTok"/>
        </w:rPr>
        <w:t xml:space="preserve"># Сохраняю результат в файл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"lab03_2.png"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Затем я выполнила написанную мною ранее программу:</w:t>
      </w:r>
    </w:p>
    <w:p>
      <w:pPr>
        <w:pStyle w:val="CaptionedFigure"/>
      </w:pPr>
      <w:r>
        <w:drawing>
          <wp:inline>
            <wp:extent cx="3733800" cy="298239"/>
            <wp:effectExtent b="0" l="0" r="0" t="0"/>
            <wp:docPr descr="Рисунок 6. Выполнение программы на Julia." title="" id="43" name="Picture"/>
            <a:graphic>
              <a:graphicData uri="http://schemas.openxmlformats.org/drawingml/2006/picture">
                <pic:pic>
                  <pic:nvPicPr>
                    <pic:cNvPr descr="image/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Рисунок 6. Выполнение программы на Julia.</w:t>
      </w:r>
    </w:p>
    <w:p>
      <w:pPr>
        <w:pStyle w:val="BodyText"/>
      </w:pPr>
      <w:r>
        <w:t xml:space="preserve">В итоге я получила следующие графики: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унок 7. Полученный с помощью Julia результат для первого случая." title="" id="46" name="Picture"/>
            <a:graphic>
              <a:graphicData uri="http://schemas.openxmlformats.org/drawingml/2006/picture">
                <pic:pic>
                  <pic:nvPicPr>
                    <pic:cNvPr descr="image/lab03_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Рисунок 7. Полученный с помощью Julia результат для первого случая.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унок 8. Полученный с помощью Julia результат для второго случая." title="" id="49" name="Picture"/>
            <a:graphic>
              <a:graphicData uri="http://schemas.openxmlformats.org/drawingml/2006/picture">
                <pic:pic>
                  <pic:nvPicPr>
                    <pic:cNvPr descr="image/lab03_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Рисунок 8. Полученный с помощью Julia результат для второго случая.</w:t>
      </w:r>
    </w:p>
    <w:bookmarkEnd w:id="51"/>
    <w:bookmarkEnd w:id="52"/>
    <w:bookmarkStart w:id="59" w:name="анализ-полученных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полученных результатов</w:t>
      </w:r>
    </w:p>
    <w:p>
      <w:pPr>
        <w:pStyle w:val="FirstParagraph"/>
      </w:pPr>
      <w:r>
        <w:t xml:space="preserve">В результате выполнения данной лабораторной работы мною были получены</w:t>
      </w:r>
      <w:r>
        <w:t xml:space="preserve"> </w:t>
      </w:r>
      <w:r>
        <w:t xml:space="preserve">графики для обоих рассматриваемых случаев (боевых действий между регулярными войсками, боевых действий с участием регулярных войск и партизанских отрядов) с помощью Julia и OpenModelica. Важно отметить, что по содержанию графики получились идентичными,</w:t>
      </w:r>
      <w:r>
        <w:t xml:space="preserve"> </w:t>
      </w:r>
      <w:r>
        <w:t xml:space="preserve">выполненные на обоих языках, как для первого, так и для второго случая.</w:t>
      </w:r>
    </w:p>
    <w:p>
      <w:pPr>
        <w:pStyle w:val="CaptionedFigure"/>
      </w:pPr>
      <w:r>
        <w:drawing>
          <wp:inline>
            <wp:extent cx="2667000" cy="1500187"/>
            <wp:effectExtent b="0" l="0" r="0" t="0"/>
            <wp:docPr descr="Рисунок 9. Сравнение графиков полученных разными способами для первого случая." title="" id="54" name="Picture"/>
            <a:graphic>
              <a:graphicData uri="http://schemas.openxmlformats.org/drawingml/2006/picture">
                <pic:pic>
                  <pic:nvPicPr>
                    <pic:cNvPr descr="image/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00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Рисунок 9. Сравнение графиков полученных разными способами для первого случая.</w:t>
      </w:r>
    </w:p>
    <w:p>
      <w:pPr>
        <w:pStyle w:val="CaptionedFigure"/>
      </w:pPr>
      <w:r>
        <w:drawing>
          <wp:inline>
            <wp:extent cx="2667000" cy="1272381"/>
            <wp:effectExtent b="0" l="0" r="0" t="0"/>
            <wp:docPr descr="Рисунок 10. Сравнение графиков полученных разными способами для второго случая." title="" id="57" name="Picture"/>
            <a:graphic>
              <a:graphicData uri="http://schemas.openxmlformats.org/drawingml/2006/picture">
                <pic:pic>
                  <pic:nvPicPr>
                    <pic:cNvPr descr="image/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7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Рисунок 10. Сравнение графиков полученных разными способами для второго случая.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и результате выполнения лабораторной работы я продолжила знакомиться с языками Julia и OpenModelica. По итогам завершения выполнения лабораторной работы я получила четыре изображения графиков: 2 из них были выполнены с помощью Julia, а другие 2 – с помощью OpenModelica.</w:t>
      </w:r>
    </w:p>
    <w:p>
      <w:pPr>
        <w:pStyle w:val="BodyText"/>
      </w:pPr>
      <w:r>
        <w:t xml:space="preserve">Также можно сделать предварительный вывод о том, что подобную работу производить гораздо проще, быстрее и удобнее на языке OpenModelica, так как построение подобной модели (процесса, протекающего во времени) занимает горадно меньше как строк, так и времени.</w:t>
      </w:r>
    </w:p>
    <w:bookmarkEnd w:id="60"/>
    <w:bookmarkStart w:id="61" w:name="список-литературы.-библиография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О законах Ланчестера https://www.socionauki.ru/journal/articles/130365/</w:t>
      </w:r>
    </w:p>
    <w:p>
      <w:pPr>
        <w:pStyle w:val="BodyText"/>
      </w:pPr>
      <w:r>
        <w:t xml:space="preserve">[4] Законы-Ланчестера (Осипова-Ланчестера): https://ru.wikipedia.org/wiki/%D0%97%D0%B0%D0%BA%D0%BE%D0%BD%D1%8B_%D0%9E%D1%81%D0%B8%D0%BF%D0%BE%D0%B2%D0%B0_%E2%80%94_%D0%9B%D0%B0%D0%BD%D1%87%D0%B5%D1%81%D1%82%D0%B5%D1%80%D0%B0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42" Target="media/rId4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48" Target="media/rId48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Аристова Арина Олеговна</dc:creator>
  <dc:language>ru-RU</dc:language>
  <cp:keywords/>
  <dcterms:created xsi:type="dcterms:W3CDTF">2024-02-18T23:28:20Z</dcterms:created>
  <dcterms:modified xsi:type="dcterms:W3CDTF">2024-02-18T23:28:20Z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боевых действий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