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sz w:val="20"/>
          <w:szCs w:val="20"/>
        </w:rPr>
        <w:t xml:space="preserve">CE</w:t>
      </w:r>
    </w:p>
    <w:p>
      <w:pPr>
        <w:spacing w:after="40"/>
      </w:pPr>
      <w:r>
        <w:rPr>
          <w:sz w:val="20"/>
          <w:szCs w:val="20"/>
        </w:rPr>
        <w:t xml:space="preserve">Thru:</w:t>
      </w:r>
    </w:p>
    <w:p>
      <w:pPr>
        <w:spacing w:after="40"/>
      </w:pPr>
      <w:r>
        <w:rPr>
          <w:sz w:val="20"/>
          <w:szCs w:val="20"/>
        </w:rPr>
        <w:t xml:space="preserve">DCE (IFD)</w:t>
      </w:r>
    </w:p>
    <w:p>
      <w:pPr>
        <w:spacing w:after="40"/>
      </w:pPr>
      <w:r>
        <w:rPr>
          <w:sz w:val="20"/>
          <w:szCs w:val="20"/>
        </w:rPr>
        <w:t xml:space="preserve">DCE (TECH)</w:t>
      </w:r>
    </w:p>
    <w:p>
      <w:pPr>
        <w:spacing w:after="40"/>
      </w:pPr>
      <w:r>
        <w:rPr>
          <w:sz w:val="20"/>
          <w:szCs w:val="20"/>
        </w:rPr>
        <w:t xml:space="preserve">GDRAOM</w:t>
      </w:r>
    </w:p>
    <w:p>
      <w:pPr>
        <w:spacing w:after="40"/>
      </w:pPr>
      <w:r>
        <w:rPr>
          <w:sz w:val="20"/>
          <w:szCs w:val="20"/>
        </w:rPr>
        <w:t xml:space="preserve">GDRSE</w:t>
      </w:r>
    </w:p>
    <w:p>
      <w:pPr>
        <w:spacing w:after="40"/>
      </w:pPr>
      <w:r>
        <w:rPr>
          <w:sz w:val="20"/>
          <w:szCs w:val="20"/>
        </w:rPr>
        <w:t xml:space="preserve">DDRLD</w:t>
      </w:r>
    </w:p>
    <w:p>
      <w:pPr>
        <w:spacing w:after="200"/>
      </w:pPr>
      <w:r>
        <w:t xml:space="preserve"/>
      </w:r>
    </w:p>
    <w:p>
      <w:pPr>
        <w:spacing w:after="240"/>
        <w:jc w:val="center"/>
      </w:pPr>
      <w:r>
        <w:rPr>
          <w:b/>
          <w:bCs/>
          <w:sz w:val="22"/>
          <w:szCs w:val="22"/>
        </w:rPr>
        <w:t xml:space="preserve">FOR APPROVAL</w:t>
      </w:r>
    </w:p>
    <w:p>
      <w:pPr>
        <w:spacing w:after="360"/>
        <w:jc w:val="center"/>
      </w:pPr>
      <w:r>
        <w:rPr>
          <w:b/>
          <w:bCs/>
          <w:sz w:val="24"/>
          <w:szCs w:val="24"/>
        </w:rPr>
        <w:t xml:space="preserve">LTA RS822 AND NAIC WORK TRIP TO SHENZHEN, HEFEI, NANJING, HANGZHOU, SUZHOU, AND SHANGHAI, CHINA FROM 23 AUGUST 2026 – 30 AUGUST 2026</w:t>
      </w:r>
    </w:p>
    <w:p>
      <w:pPr>
        <w:pStyle w:val="Heading1"/>
      </w:pPr>
      <w:r>
        <w:t xml:space="preserve">AIM</w:t>
      </w:r>
    </w:p>
    <w:p>
      <w:pPr>
        <w:spacing w:after="160"/>
      </w:pPr>
      <w:r>
        <w:rPr>
          <w:b w:val="false"/>
          <w:bCs w:val="false"/>
        </w:rPr>
        <w:t xml:space="preserve">This memorandum seeks CE’s approval for LTA staff from the Rail Digitalisation and Guild division to undertake an official overseas work trip to Shenzhen, Hefei, Nanjing, Hangzhou, Suzhou, and Shanghai, China, from 23 August 2026 to 30 August 2026.</w:t>
      </w:r>
    </w:p>
    <w:p>
      <w:pPr>
        <w:spacing w:after="160"/>
      </w:pPr>
      <w:r>
        <w:rPr>
          <w:b w:val="false"/>
          <w:bCs w:val="false"/>
        </w:rPr>
        <w:t xml:space="preserve">The primary objectives of this trip are:</w:t>
      </w:r>
    </w:p>
    <w:p>
      <w:pPr>
        <w:pStyle w:val="ListParagraph"/>
        <w:numPr>
          <w:ilvl w:val="0"/>
          <w:numId w:val="2"/>
        </w:numPr>
        <w:spacing w:after="100"/>
      </w:pPr>
      <w:r>
        <w:t xml:space="preserve">Robotics &amp; Autonomous Inspection Platforms: Evaluate live applications of quadruped robot dogs (e.g., Unitree Go2/G1, DEEP Robotics) and automated inspection systems in MRT trackways, smart depots, and station environments to address long-term manpower constraints and enhance fault detection accuracy.</w:t>
      </w:r>
    </w:p>
    <w:p>
      <w:pPr>
        <w:pStyle w:val="ListParagraph"/>
        <w:numPr>
          <w:ilvl w:val="0"/>
          <w:numId w:val="2"/>
        </w:numPr>
        <w:spacing w:after="100"/>
      </w:pPr>
      <w:r>
        <w:t xml:space="preserve">Smart Depot &amp; Smart Station Operations: Deep dive into best-in-class operational technology (OT) and information technology (IT) integration architectures, automated equipment management, and smart station/depot implementations (e.g., Shenzhen Metro Smart Depot, Suzhou Chaoyanglu Smart Depot, and Suzhou Smart Station).</w:t>
      </w:r>
    </w:p>
    <w:p>
      <w:pPr>
        <w:pStyle w:val="ListParagraph"/>
        <w:numPr>
          <w:ilvl w:val="0"/>
          <w:numId w:val="2"/>
        </w:numPr>
        <w:spacing w:after="100"/>
      </w:pPr>
      <w:r>
        <w:t xml:space="preserve">Rolling Stock Co-Development (RS822): Engagement with CRRC Nanjing Puzhen in Nanjing to review the development progress for OLIVE and align technical requirements following the expansion of the developer team.</w:t>
      </w:r>
    </w:p>
    <w:p>
      <w:pPr>
        <w:pStyle w:val="ListParagraph"/>
        <w:numPr>
          <w:ilvl w:val="0"/>
          <w:numId w:val="2"/>
        </w:numPr>
        <w:spacing w:after="100"/>
      </w:pPr>
      <w:r>
        <w:t xml:space="preserve">Cloud AI Infrastructure &amp; Agentic Workflows: Study enterprise cloud architectures, model training/deployment frameworks (e.g., Alibaba Cloud Qwen / Model Studio), and agentic AI solutions (e.g., Qoder, QwenWorks) to accelerate predictive maintenance and intelligent transport decision-making.</w:t>
      </w:r>
    </w:p>
    <w:p>
      <w:pPr>
        <w:pStyle w:val="ListParagraph"/>
        <w:numPr>
          <w:ilvl w:val="0"/>
          <w:numId w:val="2"/>
        </w:numPr>
        <w:spacing w:after="100"/>
      </w:pPr>
      <w:r>
        <w:t xml:space="preserve">Asset Management &amp; City-Level Digital Twins: Examine integrated operation and management dashboards (e.g., STEC Shanghai Urban Operation's “1+7+N” platform and Shanghai Shentong Metro Group solutions) to guide LTA’s Common Data Platform (CDP) and digital train/depot roadmap.</w:t>
      </w:r>
    </w:p>
    <w:p>
      <w:pPr>
        <w:pStyle w:val="Heading1"/>
      </w:pPr>
      <w:r>
        <w:t xml:space="preserve">BACKGROUND</w:t>
      </w:r>
    </w:p>
    <w:p>
      <w:pPr>
        <w:spacing w:after="160"/>
      </w:pPr>
      <w:r>
        <w:rPr>
          <w:b w:val="false"/>
          <w:bCs w:val="false"/>
        </w:rPr>
        <w:t xml:space="preserve">Shenzhen Metro &amp; BYD (Shenzhen): Shenzhen Metro operates one of China's most highly automated urban rail networks. Visiting their Smart Depot provides first-hand insights into automated train inspection, RFID-enabled tooling, and predictive maintenance. BYD is a pioneer in green transportation, autonomous monorail systems (SkyRail/SkyShuttle), battery storage technology, and advanced industrial automation.</w:t>
      </w:r>
    </w:p>
    <w:p>
      <w:pPr>
        <w:spacing w:after="160"/>
      </w:pPr>
      <w:r>
        <w:rPr>
          <w:b w:val="false"/>
          <w:bCs w:val="false"/>
        </w:rPr>
        <w:t xml:space="preserve">Hong Meng Super Factory (Hefei): Known for state-of-the-art intelligent manufacturing, the Hong Meng Super Factory showcases end-to-end automation, IoT sensing, and industrial AI application in high-precision assembly lines.</w:t>
      </w:r>
    </w:p>
    <w:p>
      <w:pPr>
        <w:spacing w:after="160"/>
      </w:pPr>
      <w:r>
        <w:rPr>
          <w:b w:val="false"/>
          <w:bCs w:val="false"/>
        </w:rPr>
        <w:t xml:space="preserve">CRRC Nanjing Puzhen (Nanjing): As the primary manufacturer for the RS822 project, CRRC Puzhen plays a critical role in LTA’s fleet modernization. Meeting the RS822 co-development team in Nanjing allows LTA officers to check on software/hardware progress for OLIVE and review edge-computing systems.</w:t>
      </w:r>
    </w:p>
    <w:p>
      <w:pPr>
        <w:spacing w:after="160"/>
      </w:pPr>
      <w:r>
        <w:rPr>
          <w:b w:val="false"/>
          <w:bCs w:val="false"/>
        </w:rPr>
        <w:t xml:space="preserve">Unitree Robotics &amp; DEEP Robotics (Hangzhou): Both companies are global leaders in quadruped and humanoid robotics. Unitree provides quadruped platforms (Go2) and humanoid solutions (G1), while DEEP Robotics specializes in industrial quadruped robots engineered for railway and tunnel environment inspections.</w:t>
      </w:r>
    </w:p>
    <w:p>
      <w:pPr>
        <w:spacing w:after="160"/>
      </w:pPr>
      <w:r>
        <w:rPr>
          <w:b w:val="false"/>
          <w:bCs w:val="false"/>
        </w:rPr>
        <w:t xml:space="preserve">Alibaba Group &amp; Alibaba Cloud (Hangzhou): Engagements at the Alibaba Xixi Campus and Cainiao Global HQ focus on enterprise AI deployment, Model-as-a-Service (Qwen, Model Studio), AMap product integration, and Agentic AI workflows (Qoder, QwenWorks) for automated maintenance scheduling and logistics automation.</w:t>
      </w:r>
    </w:p>
    <w:p>
      <w:pPr>
        <w:spacing w:after="160"/>
      </w:pPr>
      <w:r>
        <w:rPr>
          <w:b w:val="false"/>
          <w:bCs w:val="false"/>
        </w:rPr>
        <w:t xml:space="preserve">Suzhou Smart Station &amp; Chaoyanglu Smart Depot (Suzhou): Suzhou Rail Transit has spearheaded smart station management and automated depot operations. Studying their Chaoyanglu Smart Depot and smart station features provides practical benchmarks for LTA's digital depot and station transformation.</w:t>
      </w:r>
    </w:p>
    <w:p>
      <w:pPr>
        <w:spacing w:after="160"/>
      </w:pPr>
      <w:r>
        <w:rPr>
          <w:b w:val="false"/>
          <w:bCs w:val="false"/>
        </w:rPr>
        <w:t xml:space="preserve">STEC Shanghai Urban Operation &amp; Shanghai Shentong Metro Group (Shanghai): STEC operates the “1+7+N” digital service matrix across Shanghai's infrastructure network. Their Rail Transit Integrated Management Dashboard, automated inspection robots, and smart equipment depots have demonstrated a 100% boost in inspection efficiency and a 35% reduction in labor costs.</w:t>
      </w:r>
    </w:p>
    <w:p>
      <w:pPr>
        <w:pStyle w:val="Heading1"/>
      </w:pPr>
      <w:r>
        <w:t xml:space="preserve">PROGRAMME OUTLINE &amp; INDICATIVE ITINERARY</w:t>
      </w:r>
    </w:p>
    <w:p>
      <w:pPr>
        <w:spacing w:after="160"/>
      </w:pPr>
      <w:r>
        <w:rPr>
          <w:b w:val="false"/>
          <w:bCs w:val="false"/>
        </w:rPr>
        <w:t xml:space="preserve">The 8-day itinerary spans major technological and rail innovation hubs in China: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560"/>
      </w:tblGrid>
      <w:tr>
        <w:trPr>
          <w:tblHeader/>
        </w:trPr>
        <w:tc>
          <w:tcPr>
            <w:tcW w:type="dxa" w:w="14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vAlign w:val="center"/>
          </w:tcPr>
          <w:p>
            <w:r>
              <w:rPr>
                <w:b/>
                <w:bCs/>
                <w:color w:val="FFFFFF"/>
                <w:sz w:val="18"/>
                <w:szCs w:val="18"/>
              </w:rPr>
              <w:t xml:space="preserve">Date</w:t>
            </w:r>
          </w:p>
        </w:tc>
        <w:tc>
          <w:tcPr>
            <w:tcW w:type="dxa" w:w="18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vAlign w:val="center"/>
          </w:tcPr>
          <w:p>
            <w:r>
              <w:rPr>
                <w:b/>
                <w:bCs/>
                <w:color w:val="FFFFFF"/>
                <w:sz w:val="18"/>
                <w:szCs w:val="18"/>
              </w:rPr>
              <w:t xml:space="preserve">Location</w:t>
            </w:r>
          </w:p>
        </w:tc>
        <w:tc>
          <w:tcPr>
            <w:tcW w:type="dxa" w:w="26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vAlign w:val="center"/>
          </w:tcPr>
          <w:p>
            <w:r>
              <w:rPr>
                <w:b/>
                <w:bCs/>
                <w:color w:val="FFFFFF"/>
                <w:sz w:val="18"/>
                <w:szCs w:val="18"/>
              </w:rPr>
              <w:t xml:space="preserve">Key Activity / Venue</w:t>
            </w:r>
          </w:p>
        </w:tc>
        <w:tc>
          <w:tcPr>
            <w:tcW w:type="dxa" w:w="356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vAlign w:val="center"/>
          </w:tcPr>
          <w:p>
            <w:r>
              <w:rPr>
                <w:b/>
                <w:bCs/>
                <w:color w:val="FFFFFF"/>
                <w:sz w:val="18"/>
                <w:szCs w:val="18"/>
              </w:rPr>
              <w:t xml:space="preserve">Technical Focus &amp; Objectives</w:t>
            </w:r>
          </w:p>
        </w:tc>
      </w:tr>
      <w:tr>
        <w:tc>
          <w:tcPr>
            <w:tcW w:type="dxa" w:w="1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pPr>
            <w:r>
              <w:rPr>
                <w:sz w:val="17"/>
                <w:szCs w:val="17"/>
              </w:rPr>
              <w:t xml:space="preserve">23 Aug 2026 (Sun)</w:t>
            </w:r>
          </w:p>
        </w:tc>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pPr>
            <w:r>
              <w:rPr>
                <w:sz w:val="17"/>
                <w:szCs w:val="17"/>
              </w:rPr>
              <w:t xml:space="preserve">Singapore → Shenzhen</w:t>
            </w:r>
          </w:p>
        </w:tc>
        <w:tc>
          <w:tcPr>
            <w:tcW w:type="dxa" w:w="2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pPr>
            <w:r>
              <w:rPr>
                <w:sz w:val="17"/>
                <w:szCs w:val="17"/>
              </w:rPr>
              <w:t xml:space="preserve">Travel &amp; Arrival</w:t>
            </w:r>
          </w:p>
        </w:tc>
        <w:tc>
          <w:tcPr>
            <w:tcW w:type="dxa" w:w="3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pPr>
            <w:r>
              <w:rPr>
                <w:sz w:val="17"/>
                <w:szCs w:val="17"/>
              </w:rPr>
              <w:t xml:space="preserve">Departure from Singapore to Shenzhen; arrival and evening team alignment briefing.</w:t>
            </w:r>
          </w:p>
        </w:tc>
      </w:tr>
      <w:tr>
        <w:tc>
          <w:tcPr>
            <w:tcW w:type="dxa" w:w="1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pPr>
            <w:r>
              <w:rPr>
                <w:sz w:val="17"/>
                <w:szCs w:val="17"/>
              </w:rPr>
              <w:t xml:space="preserve">24 Aug 2026 (Mon)</w:t>
            </w:r>
          </w:p>
        </w:tc>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pPr>
            <w:r>
              <w:rPr>
                <w:sz w:val="17"/>
                <w:szCs w:val="17"/>
              </w:rPr>
              <w:t xml:space="preserve">Shenzhen → Hefei</w:t>
            </w:r>
          </w:p>
        </w:tc>
        <w:tc>
          <w:tcPr>
            <w:tcW w:type="dxa" w:w="2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60"/>
            </w:pPr>
            <w:r>
              <w:rPr>
                <w:sz w:val="17"/>
                <w:szCs w:val="17"/>
              </w:rPr>
              <w:t xml:space="preserve">Morning: Shenzhen Metro Smart Depot</w:t>
            </w:r>
          </w:p>
          <w:p>
            <w:pPr>
              <w:spacing w:after="60"/>
            </w:pPr>
            <w:r>
              <w:rPr>
                <w:sz w:val="17"/>
                <w:szCs w:val="17"/>
              </w:rPr>
              <w:t xml:space="preserve">Afternoon: BYD Factory</w:t>
            </w:r>
          </w:p>
          <w:p>
            <w:pPr>
              <w:spacing w:after="0"/>
            </w:pPr>
            <w:r>
              <w:rPr>
                <w:sz w:val="17"/>
                <w:szCs w:val="17"/>
              </w:rPr>
              <w:t xml:space="preserve">Night: Flight to Hefei (ZH8907, 21:05–23:15)</w:t>
            </w:r>
          </w:p>
        </w:tc>
        <w:tc>
          <w:tcPr>
            <w:tcW w:type="dxa" w:w="3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60"/>
            </w:pPr>
            <w:r>
              <w:rPr>
                <w:sz w:val="17"/>
                <w:szCs w:val="17"/>
              </w:rPr>
              <w:t xml:space="preserve">Smart depot automation, robotic inspection, and predictive maintenance.</w:t>
            </w:r>
          </w:p>
          <w:p>
            <w:pPr>
              <w:spacing w:after="60"/>
            </w:pPr>
            <w:r>
              <w:rPr>
                <w:sz w:val="17"/>
                <w:szCs w:val="17"/>
              </w:rPr>
              <w:t xml:space="preserve">BYD autonomous transit systems (SkyRail/SkyShuttle) and factory automation.</w:t>
            </w:r>
          </w:p>
          <w:p>
            <w:pPr>
              <w:spacing w:after="0"/>
            </w:pPr>
            <w:r>
              <w:rPr>
                <w:sz w:val="17"/>
                <w:szCs w:val="17"/>
              </w:rPr>
              <w:t xml:space="preserve">Evening flight transfer to Hefei.</w:t>
            </w:r>
          </w:p>
        </w:tc>
      </w:tr>
      <w:tr>
        <w:tc>
          <w:tcPr>
            <w:tcW w:type="dxa" w:w="1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pPr>
            <w:r>
              <w:rPr>
                <w:sz w:val="17"/>
                <w:szCs w:val="17"/>
              </w:rPr>
              <w:t xml:space="preserve">25 Aug 2026 (Tue)</w:t>
            </w:r>
          </w:p>
        </w:tc>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pPr>
            <w:r>
              <w:rPr>
                <w:sz w:val="17"/>
                <w:szCs w:val="17"/>
              </w:rPr>
              <w:t xml:space="preserve">Hefei → Nanjing → Hangzhou</w:t>
            </w:r>
          </w:p>
        </w:tc>
        <w:tc>
          <w:tcPr>
            <w:tcW w:type="dxa" w:w="2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60"/>
            </w:pPr>
            <w:r>
              <w:rPr>
                <w:sz w:val="17"/>
                <w:szCs w:val="17"/>
              </w:rPr>
              <w:t xml:space="preserve">Morning: Hong Meng Super Factory (Hefei)</w:t>
            </w:r>
          </w:p>
          <w:p>
            <w:pPr>
              <w:spacing w:after="60"/>
            </w:pPr>
            <w:r>
              <w:rPr>
                <w:sz w:val="17"/>
                <w:szCs w:val="17"/>
              </w:rPr>
              <w:t xml:space="preserve">Afternoon: Car transfer to Nanjing (CRRC Puzhen)</w:t>
            </w:r>
          </w:p>
          <w:p>
            <w:pPr>
              <w:spacing w:after="0"/>
            </w:pPr>
            <w:r>
              <w:rPr>
                <w:sz w:val="17"/>
                <w:szCs w:val="17"/>
              </w:rPr>
              <w:t xml:space="preserve">Evening: HSR to Hangzhou</w:t>
            </w:r>
          </w:p>
        </w:tc>
        <w:tc>
          <w:tcPr>
            <w:tcW w:type="dxa" w:w="3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60"/>
            </w:pPr>
            <w:r>
              <w:rPr>
                <w:sz w:val="17"/>
                <w:szCs w:val="17"/>
              </w:rPr>
              <w:t xml:space="preserve">Study intelligent manufacturing and industrial IoT at Hong Meng Super Factory.</w:t>
            </w:r>
          </w:p>
          <w:p>
            <w:pPr>
              <w:spacing w:after="60"/>
            </w:pPr>
            <w:r>
              <w:rPr>
                <w:sz w:val="17"/>
                <w:szCs w:val="17"/>
              </w:rPr>
              <w:t xml:space="preserve">Technical check-in with CRRC Puzhen RS822 development team in Nanjing.</w:t>
            </w:r>
          </w:p>
          <w:p>
            <w:pPr>
              <w:spacing w:after="0"/>
            </w:pPr>
            <w:r>
              <w:rPr>
                <w:sz w:val="17"/>
                <w:szCs w:val="17"/>
              </w:rPr>
              <w:t xml:space="preserve">High-Speed Rail transfer from Nanjing to Hangzhou.</w:t>
            </w:r>
          </w:p>
        </w:tc>
      </w:tr>
      <w:tr>
        <w:tc>
          <w:tcPr>
            <w:tcW w:type="dxa" w:w="1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pPr>
            <w:r>
              <w:rPr>
                <w:sz w:val="17"/>
                <w:szCs w:val="17"/>
              </w:rPr>
              <w:t xml:space="preserve">26 Aug 2026 (Wed)</w:t>
            </w:r>
          </w:p>
        </w:tc>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pPr>
            <w:r>
              <w:rPr>
                <w:sz w:val="17"/>
                <w:szCs w:val="17"/>
              </w:rPr>
              <w:t xml:space="preserve">Hangzhou</w:t>
            </w:r>
          </w:p>
        </w:tc>
        <w:tc>
          <w:tcPr>
            <w:tcW w:type="dxa" w:w="2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60"/>
            </w:pPr>
            <w:r>
              <w:rPr>
                <w:sz w:val="17"/>
                <w:szCs w:val="17"/>
              </w:rPr>
              <w:t xml:space="preserve">Morning: Unitree Robotics</w:t>
            </w:r>
          </w:p>
          <w:p>
            <w:pPr>
              <w:spacing w:after="60"/>
            </w:pPr>
            <w:r>
              <w:rPr>
                <w:sz w:val="17"/>
                <w:szCs w:val="17"/>
              </w:rPr>
              <w:t xml:space="preserve">Lunch: Alibaba &amp; LTA</w:t>
            </w:r>
          </w:p>
          <w:p>
            <w:pPr>
              <w:spacing w:after="60"/>
            </w:pPr>
            <w:r>
              <w:rPr>
                <w:sz w:val="17"/>
                <w:szCs w:val="17"/>
              </w:rPr>
              <w:t xml:space="preserve">Afternoon: DEEP Robotics &amp; Cainiao Global HQ</w:t>
            </w:r>
          </w:p>
          <w:p>
            <w:pPr>
              <w:spacing w:after="0"/>
            </w:pPr>
            <w:r>
              <w:rPr>
                <w:sz w:val="17"/>
                <w:szCs w:val="17"/>
              </w:rPr>
              <w:t xml:space="preserve">Dinner: Alibaba &amp; LTA</w:t>
            </w:r>
          </w:p>
        </w:tc>
        <w:tc>
          <w:tcPr>
            <w:tcW w:type="dxa" w:w="3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60"/>
            </w:pPr>
            <w:r>
              <w:rPr>
                <w:sz w:val="17"/>
                <w:szCs w:val="17"/>
              </w:rPr>
              <w:t xml:space="preserve">Live demonstrations of quadruped (Go2) and humanoid (G1) robots.</w:t>
            </w:r>
          </w:p>
          <w:p>
            <w:pPr>
              <w:spacing w:after="60"/>
            </w:pPr>
            <w:r>
              <w:rPr>
                <w:sz w:val="17"/>
                <w:szCs w:val="17"/>
              </w:rPr>
              <w:t xml:space="preserve">Industrial railway quadruped inspection solutions with DEEP Robotics.</w:t>
            </w:r>
          </w:p>
          <w:p>
            <w:pPr>
              <w:spacing w:after="0"/>
            </w:pPr>
            <w:r>
              <w:rPr>
                <w:sz w:val="17"/>
                <w:szCs w:val="17"/>
              </w:rPr>
              <w:t xml:space="preserve">Automated supply chain and IoT logistics at Cainiao Global HQ.</w:t>
            </w:r>
          </w:p>
        </w:tc>
      </w:tr>
      <w:tr>
        <w:tc>
          <w:tcPr>
            <w:tcW w:type="dxa" w:w="1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pPr>
            <w:r>
              <w:rPr>
                <w:sz w:val="17"/>
                <w:szCs w:val="17"/>
              </w:rPr>
              <w:t xml:space="preserve">27 Aug 2026 (Thu)</w:t>
            </w:r>
          </w:p>
        </w:tc>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pPr>
            <w:r>
              <w:rPr>
                <w:sz w:val="17"/>
                <w:szCs w:val="17"/>
              </w:rPr>
              <w:t xml:space="preserve">Hangzhou → Suzhou</w:t>
            </w:r>
          </w:p>
        </w:tc>
        <w:tc>
          <w:tcPr>
            <w:tcW w:type="dxa" w:w="2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60"/>
            </w:pPr>
            <w:r>
              <w:rPr>
                <w:sz w:val="17"/>
                <w:szCs w:val="17"/>
              </w:rPr>
              <w:t xml:space="preserve">Morning: Alibaba Xixi Campus (AMap, Qwen, Agentic AI)</w:t>
            </w:r>
          </w:p>
          <w:p>
            <w:pPr>
              <w:spacing w:after="0"/>
            </w:pPr>
            <w:r>
              <w:rPr>
                <w:sz w:val="17"/>
                <w:szCs w:val="17"/>
              </w:rPr>
              <w:t xml:space="preserve">Afternoon: HSR to Suzhou &amp; Suzhou Smart Station Visit</w:t>
            </w:r>
          </w:p>
        </w:tc>
        <w:tc>
          <w:tcPr>
            <w:tcW w:type="dxa" w:w="3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60"/>
            </w:pPr>
            <w:r>
              <w:rPr>
                <w:sz w:val="17"/>
                <w:szCs w:val="17"/>
              </w:rPr>
              <w:t xml:space="preserve">Deep dive into Alibaba Cloud AI (Qwen, Model Studio, Qoder, QwenWorks).</w:t>
            </w:r>
          </w:p>
          <w:p>
            <w:pPr>
              <w:spacing w:after="60"/>
            </w:pPr>
            <w:r>
              <w:rPr>
                <w:sz w:val="17"/>
                <w:szCs w:val="17"/>
              </w:rPr>
              <w:t xml:space="preserve">HSR transfer to Suzhou.</w:t>
            </w:r>
          </w:p>
          <w:p>
            <w:pPr>
              <w:spacing w:after="0"/>
            </w:pPr>
            <w:r>
              <w:rPr>
                <w:sz w:val="17"/>
                <w:szCs w:val="17"/>
              </w:rPr>
              <w:t xml:space="preserve">On-site study of Suzhou Smart Station operational features.</w:t>
            </w:r>
          </w:p>
        </w:tc>
      </w:tr>
      <w:tr>
        <w:tc>
          <w:tcPr>
            <w:tcW w:type="dxa" w:w="1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pPr>
            <w:r>
              <w:rPr>
                <w:sz w:val="17"/>
                <w:szCs w:val="17"/>
              </w:rPr>
              <w:t xml:space="preserve">28 Aug 2026 (Fri)</w:t>
            </w:r>
          </w:p>
        </w:tc>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pPr>
            <w:r>
              <w:rPr>
                <w:sz w:val="17"/>
                <w:szCs w:val="17"/>
              </w:rPr>
              <w:t xml:space="preserve">Suzhou → Shanghai</w:t>
            </w:r>
          </w:p>
        </w:tc>
        <w:tc>
          <w:tcPr>
            <w:tcW w:type="dxa" w:w="2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60"/>
            </w:pPr>
            <w:r>
              <w:rPr>
                <w:sz w:val="17"/>
                <w:szCs w:val="17"/>
              </w:rPr>
              <w:t xml:space="preserve">Morning: Suzhou Chaoyanglu Smart Depot</w:t>
            </w:r>
          </w:p>
          <w:p>
            <w:pPr>
              <w:spacing w:after="0"/>
            </w:pPr>
            <w:r>
              <w:rPr>
                <w:sz w:val="17"/>
                <w:szCs w:val="17"/>
              </w:rPr>
              <w:t xml:space="preserve">Afternoon: Car transfer to Shanghai &amp; Shanghai Shentong Metro Group</w:t>
            </w:r>
          </w:p>
        </w:tc>
        <w:tc>
          <w:tcPr>
            <w:tcW w:type="dxa" w:w="3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60"/>
            </w:pPr>
            <w:r>
              <w:rPr>
                <w:sz w:val="17"/>
                <w:szCs w:val="17"/>
              </w:rPr>
              <w:t xml:space="preserve">Review smart depot workflows and automated maintenance tools in Suzhou.</w:t>
            </w:r>
          </w:p>
          <w:p>
            <w:pPr>
              <w:spacing w:after="60"/>
            </w:pPr>
            <w:r>
              <w:rPr>
                <w:sz w:val="17"/>
                <w:szCs w:val="17"/>
              </w:rPr>
              <w:t xml:space="preserve">Car transfer to Shanghai.</w:t>
            </w:r>
          </w:p>
          <w:p>
            <w:pPr>
              <w:spacing w:after="0"/>
            </w:pPr>
            <w:r>
              <w:rPr>
                <w:sz w:val="17"/>
                <w:szCs w:val="17"/>
              </w:rPr>
              <w:t xml:space="preserve">Engagement with Shanghai Shentong Metro Group on network asset management.</w:t>
            </w:r>
          </w:p>
        </w:tc>
      </w:tr>
      <w:tr>
        <w:tc>
          <w:tcPr>
            <w:tcW w:type="dxa" w:w="1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pPr>
            <w:r>
              <w:rPr>
                <w:sz w:val="17"/>
                <w:szCs w:val="17"/>
              </w:rPr>
              <w:t xml:space="preserve">29 Aug 2026 (Sat)</w:t>
            </w:r>
          </w:p>
        </w:tc>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pPr>
            <w:r>
              <w:rPr>
                <w:sz w:val="17"/>
                <w:szCs w:val="17"/>
              </w:rPr>
              <w:t xml:space="preserve">Shanghai</w:t>
            </w:r>
          </w:p>
        </w:tc>
        <w:tc>
          <w:tcPr>
            <w:tcW w:type="dxa" w:w="2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pPr>
            <w:r>
              <w:rPr>
                <w:sz w:val="17"/>
                <w:szCs w:val="17"/>
              </w:rPr>
              <w:t xml:space="preserve">STEC Shanghai Urban Operation</w:t>
            </w:r>
          </w:p>
        </w:tc>
        <w:tc>
          <w:tcPr>
            <w:tcW w:type="dxa" w:w="3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pPr>
            <w:r>
              <w:rPr>
                <w:sz w:val="17"/>
                <w:szCs w:val="17"/>
              </w:rPr>
              <w:t xml:space="preserve">Study STEC “1+7+N” digital service matrix, Rail Transit Dashboard, wearable supervision devices, and automated tool management.</w:t>
            </w:r>
          </w:p>
        </w:tc>
      </w:tr>
      <w:tr>
        <w:tc>
          <w:tcPr>
            <w:tcW w:type="dxa" w:w="1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pPr>
            <w:r>
              <w:rPr>
                <w:sz w:val="17"/>
                <w:szCs w:val="17"/>
              </w:rPr>
              <w:t xml:space="preserve">30 Aug 2026 (Sun)</w:t>
            </w:r>
          </w:p>
        </w:tc>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pPr>
            <w:r>
              <w:rPr>
                <w:sz w:val="17"/>
                <w:szCs w:val="17"/>
              </w:rPr>
              <w:t xml:space="preserve">Shanghai → Singapore</w:t>
            </w:r>
          </w:p>
        </w:tc>
        <w:tc>
          <w:tcPr>
            <w:tcW w:type="dxa" w:w="2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pPr>
            <w:r>
              <w:rPr>
                <w:sz w:val="17"/>
                <w:szCs w:val="17"/>
              </w:rPr>
              <w:t xml:space="preserve">Departure &amp; Travel</w:t>
            </w:r>
          </w:p>
        </w:tc>
        <w:tc>
          <w:tcPr>
            <w:tcW w:type="dxa" w:w="3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pPr>
            <w:r>
              <w:rPr>
                <w:sz w:val="17"/>
                <w:szCs w:val="17"/>
              </w:rPr>
              <w:t xml:space="preserve">Wrap-up discussion; departure flight from Shanghai back to Singapore.</w:t>
            </w:r>
          </w:p>
        </w:tc>
      </w:tr>
    </w:tbl>
    <w:p>
      <w:r>
        <w:br w:type="page"/>
      </w:r>
    </w:p>
    <w:p>
      <w:pPr>
        <w:pStyle w:val="Heading1"/>
      </w:pPr>
      <w:r>
        <w:t xml:space="preserve">PARTICIPANTS</w:t>
      </w:r>
    </w:p>
    <w:p>
      <w:pPr>
        <w:spacing w:after="160"/>
      </w:pPr>
      <w:r>
        <w:rPr>
          <w:b w:val="false"/>
          <w:bCs w:val="false"/>
        </w:rPr>
        <w:t xml:space="preserve">The proposed LTA representatives from the Rail Digitalisation and Guild division and the duration of the trip are as follows:</w:t>
      </w:r>
    </w:p>
    <w:p>
      <w:pPr>
        <w:spacing w:after="100"/>
      </w:pPr>
      <w:r>
        <w:rPr>
          <w:b/>
          <w:bCs/>
        </w:rPr>
        <w:t xml:space="preserve">Table A: LTA Representatives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400"/>
        <w:gridCol w:w="1800"/>
        <w:gridCol w:w="1380"/>
        <w:gridCol w:w="1380"/>
      </w:tblGrid>
      <w:tr>
        <w:trPr>
          <w:tblHeader/>
        </w:trPr>
        <w:tc>
          <w:tcPr>
            <w:tcW w:type="dxa" w:w="6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vAlign w:val="center"/>
          </w:tcPr>
          <w:p>
            <w:r>
              <w:rPr>
                <w:b/>
                <w:bCs/>
                <w:color w:val="FFFFFF"/>
                <w:sz w:val="18"/>
                <w:szCs w:val="18"/>
              </w:rPr>
              <w:t xml:space="preserve">S/No.</w:t>
            </w:r>
          </w:p>
        </w:tc>
        <w:tc>
          <w:tcPr>
            <w:tcW w:type="dxa" w:w="18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vAlign w:val="center"/>
          </w:tcPr>
          <w:p>
            <w:r>
              <w:rPr>
                <w:b/>
                <w:bCs/>
                <w:color w:val="FFFFFF"/>
                <w:sz w:val="18"/>
                <w:szCs w:val="18"/>
              </w:rPr>
              <w:t xml:space="preserve">Name</w:t>
            </w:r>
          </w:p>
        </w:tc>
        <w:tc>
          <w:tcPr>
            <w:tcW w:type="dxa" w:w="24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vAlign w:val="center"/>
          </w:tcPr>
          <w:p>
            <w:r>
              <w:rPr>
                <w:b/>
                <w:bCs/>
                <w:color w:val="FFFFFF"/>
                <w:sz w:val="18"/>
                <w:szCs w:val="18"/>
              </w:rPr>
              <w:t xml:space="preserve">Division / Group</w:t>
            </w:r>
          </w:p>
        </w:tc>
        <w:tc>
          <w:tcPr>
            <w:tcW w:type="dxa" w:w="18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vAlign w:val="center"/>
          </w:tcPr>
          <w:p>
            <w:r>
              <w:rPr>
                <w:b/>
                <w:bCs/>
                <w:color w:val="FFFFFF"/>
                <w:sz w:val="18"/>
                <w:szCs w:val="18"/>
              </w:rPr>
              <w:t xml:space="preserve">Designation</w:t>
            </w:r>
          </w:p>
        </w:tc>
        <w:tc>
          <w:tcPr>
            <w:tcW w:type="dxa" w:w="138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vAlign w:val="center"/>
          </w:tcPr>
          <w:p>
            <w:r>
              <w:rPr>
                <w:b/>
                <w:bCs/>
                <w:color w:val="FFFFFF"/>
                <w:sz w:val="18"/>
                <w:szCs w:val="18"/>
              </w:rPr>
              <w:t xml:space="preserve">Start Date</w:t>
            </w:r>
          </w:p>
        </w:tc>
        <w:tc>
          <w:tcPr>
            <w:tcW w:type="dxa" w:w="138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vAlign w:val="center"/>
          </w:tcPr>
          <w:p>
            <w:r>
              <w:rPr>
                <w:b/>
                <w:bCs/>
                <w:color w:val="FFFFFF"/>
                <w:sz w:val="18"/>
                <w:szCs w:val="18"/>
              </w:rPr>
              <w:t xml:space="preserve">End Date</w:t>
            </w:r>
          </w:p>
        </w:tc>
      </w:tr>
      <w:tr>
        <w:tc>
          <w:tcPr>
            <w:tcW w:type="dxa" w:w="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1</w:t>
            </w:r>
          </w:p>
        </w:tc>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Ms Wan Fang</w:t>
            </w:r>
          </w:p>
        </w:tc>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Rail Digitalisation and Guild</w:t>
            </w:r>
          </w:p>
        </w:tc>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Director (HOD)</w:t>
            </w:r>
          </w:p>
        </w:tc>
        <w:tc>
          <w:tcPr>
            <w:tcW w:type="dxa" w:w="138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23 Aug 2026</w:t>
            </w:r>
          </w:p>
        </w:tc>
        <w:tc>
          <w:tcPr>
            <w:tcW w:type="dxa" w:w="138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30 Aug 2026</w:t>
            </w:r>
          </w:p>
        </w:tc>
      </w:tr>
      <w:tr>
        <w:tc>
          <w:tcPr>
            <w:tcW w:type="dxa" w:w="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2</w:t>
            </w:r>
          </w:p>
        </w:tc>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Mr Wang Yizhen</w:t>
            </w:r>
          </w:p>
        </w:tc>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Rail Digitalisation and Guild</w:t>
            </w:r>
          </w:p>
        </w:tc>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Manager</w:t>
            </w:r>
          </w:p>
        </w:tc>
        <w:tc>
          <w:tcPr>
            <w:tcW w:type="dxa" w:w="138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23 Aug 2026</w:t>
            </w:r>
          </w:p>
        </w:tc>
        <w:tc>
          <w:tcPr>
            <w:tcW w:type="dxa" w:w="138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30 Aug 2026</w:t>
            </w:r>
          </w:p>
        </w:tc>
      </w:tr>
      <w:tr>
        <w:tc>
          <w:tcPr>
            <w:tcW w:type="dxa" w:w="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3</w:t>
            </w:r>
          </w:p>
        </w:tc>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Mr Zhao Xihui</w:t>
            </w:r>
          </w:p>
        </w:tc>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Rail Digitalisation and Guild</w:t>
            </w:r>
          </w:p>
        </w:tc>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Manager</w:t>
            </w:r>
          </w:p>
        </w:tc>
        <w:tc>
          <w:tcPr>
            <w:tcW w:type="dxa" w:w="138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23 Aug 2026</w:t>
            </w:r>
          </w:p>
        </w:tc>
        <w:tc>
          <w:tcPr>
            <w:tcW w:type="dxa" w:w="138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30 Aug 2026</w:t>
            </w:r>
          </w:p>
        </w:tc>
      </w:tr>
      <w:tr>
        <w:tc>
          <w:tcPr>
            <w:tcW w:type="dxa" w:w="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4</w:t>
            </w:r>
          </w:p>
        </w:tc>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Mr Ao Chin Wen</w:t>
            </w:r>
          </w:p>
        </w:tc>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Rail Digitalisation and Guild</w:t>
            </w:r>
          </w:p>
        </w:tc>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Principal Engineer</w:t>
            </w:r>
          </w:p>
        </w:tc>
        <w:tc>
          <w:tcPr>
            <w:tcW w:type="dxa" w:w="138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23 Aug 2026</w:t>
            </w:r>
          </w:p>
        </w:tc>
        <w:tc>
          <w:tcPr>
            <w:tcW w:type="dxa" w:w="138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30 Aug 2026</w:t>
            </w:r>
          </w:p>
        </w:tc>
      </w:tr>
    </w:tbl>
    <w:p>
      <w:pPr>
        <w:pStyle w:val="Heading1"/>
      </w:pPr>
      <w:r>
        <w:t xml:space="preserve">BREAKDOWN OF COST</w:t>
      </w:r>
    </w:p>
    <w:p>
      <w:pPr>
        <w:spacing w:after="160"/>
      </w:pPr>
      <w:r>
        <w:rPr>
          <w:b w:val="false"/>
          <w:bCs w:val="false"/>
        </w:rPr>
        <w:t xml:space="preserve">The total estimated cost of the trip for 4 pax is S$22,268.40, and approval is sought for a budget rounded up to S$23,000.00 (see Table B for breakdown and Table C for individual summary).</w:t>
      </w:r>
    </w:p>
    <w:p>
      <w:pPr>
        <w:spacing w:after="100" w:before="120"/>
      </w:pPr>
      <w:r>
        <w:rPr>
          <w:b/>
          <w:bCs/>
        </w:rPr>
        <w:t xml:space="preserve">Table B: Budget Breakdown for 4 Pax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100"/>
        <w:gridCol w:w="800"/>
        <w:gridCol w:w="1360"/>
        <w:gridCol w:w="1200"/>
        <w:gridCol w:w="2800"/>
      </w:tblGrid>
      <w:tr>
        <w:trPr>
          <w:tblHeader/>
        </w:trPr>
        <w:tc>
          <w:tcPr>
            <w:tcW w:type="dxa" w:w="5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vAlign w:val="center"/>
          </w:tcPr>
          <w:p>
            <w:r>
              <w:rPr>
                <w:b/>
                <w:bCs/>
                <w:color w:val="FFFFFF"/>
                <w:sz w:val="18"/>
                <w:szCs w:val="18"/>
              </w:rPr>
              <w:t xml:space="preserve">S/No.</w:t>
            </w:r>
          </w:p>
        </w:tc>
        <w:tc>
          <w:tcPr>
            <w:tcW w:type="dxa" w:w="16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vAlign w:val="center"/>
          </w:tcPr>
          <w:p>
            <w:r>
              <w:rPr>
                <w:b/>
                <w:bCs/>
                <w:color w:val="FFFFFF"/>
                <w:sz w:val="18"/>
                <w:szCs w:val="18"/>
              </w:rPr>
              <w:t xml:space="preserve">Description</w:t>
            </w:r>
          </w:p>
        </w:tc>
        <w:tc>
          <w:tcPr>
            <w:tcW w:type="dxa" w:w="11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vAlign w:val="center"/>
          </w:tcPr>
          <w:p>
            <w:r>
              <w:rPr>
                <w:b/>
                <w:bCs/>
                <w:color w:val="FFFFFF"/>
                <w:sz w:val="18"/>
                <w:szCs w:val="18"/>
              </w:rPr>
              <w:t xml:space="preserve">Unit Cost (SGD)</w:t>
            </w:r>
          </w:p>
        </w:tc>
        <w:tc>
          <w:tcPr>
            <w:tcW w:type="dxa" w:w="8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vAlign w:val="center"/>
          </w:tcPr>
          <w:p>
            <w:r>
              <w:rPr>
                <w:b/>
                <w:bCs/>
                <w:color w:val="FFFFFF"/>
                <w:sz w:val="18"/>
                <w:szCs w:val="18"/>
              </w:rPr>
              <w:t xml:space="preserve">No. of Pax</w:t>
            </w:r>
          </w:p>
        </w:tc>
        <w:tc>
          <w:tcPr>
            <w:tcW w:type="dxa" w:w="136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vAlign w:val="center"/>
          </w:tcPr>
          <w:p>
            <w:r>
              <w:rPr>
                <w:b/>
                <w:bCs/>
                <w:color w:val="FFFFFF"/>
                <w:sz w:val="18"/>
                <w:szCs w:val="18"/>
              </w:rPr>
              <w:t xml:space="preserve">Duration / Quantity</w:t>
            </w:r>
          </w:p>
        </w:tc>
        <w:tc>
          <w:tcPr>
            <w:tcW w:type="dxa" w:w="12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vAlign w:val="center"/>
          </w:tcPr>
          <w:p>
            <w:r>
              <w:rPr>
                <w:b/>
                <w:bCs/>
                <w:color w:val="FFFFFF"/>
                <w:sz w:val="18"/>
                <w:szCs w:val="18"/>
              </w:rPr>
              <w:t xml:space="preserve">Total Cost (SGD)</w:t>
            </w:r>
          </w:p>
        </w:tc>
        <w:tc>
          <w:tcPr>
            <w:tcW w:type="dxa" w:w="28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1</w:t>
            </w:r>
          </w:p>
        </w:tc>
        <w:tc>
          <w:tcPr>
            <w:tcW w:type="dxa" w:w="1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Airfare (Economy)</w:t>
            </w:r>
          </w:p>
        </w:tc>
        <w:tc>
          <w:tcPr>
            <w:tcW w:type="dxa" w:w="11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$1,722.00</w:t>
            </w:r>
          </w:p>
        </w:tc>
        <w:tc>
          <w:tcPr>
            <w:tcW w:type="dxa" w:w="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4</w:t>
            </w:r>
          </w:p>
        </w:tc>
        <w:tc>
          <w:tcPr>
            <w:tcW w:type="dxa" w:w="13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1 trip</w:t>
            </w:r>
          </w:p>
        </w:tc>
        <w:tc>
          <w:tcPr>
            <w:tcW w:type="dxa" w:w="1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$6,888.00</w:t>
            </w:r>
          </w:p>
        </w:tc>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Multi-city international &amp; domestic flights</w:t>
            </w:r>
          </w:p>
        </w:tc>
      </w:tr>
      <w:tr>
        <w:tc>
          <w:tcPr>
            <w:tcW w:type="dxa" w:w="5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2</w:t>
            </w:r>
          </w:p>
        </w:tc>
        <w:tc>
          <w:tcPr>
            <w:tcW w:type="dxa" w:w="1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Accommodation</w:t>
            </w:r>
          </w:p>
        </w:tc>
        <w:tc>
          <w:tcPr>
            <w:tcW w:type="dxa" w:w="11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$300.00</w:t>
            </w:r>
          </w:p>
        </w:tc>
        <w:tc>
          <w:tcPr>
            <w:tcW w:type="dxa" w:w="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4</w:t>
            </w:r>
          </w:p>
        </w:tc>
        <w:tc>
          <w:tcPr>
            <w:tcW w:type="dxa" w:w="13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7 nights</w:t>
            </w:r>
          </w:p>
        </w:tc>
        <w:tc>
          <w:tcPr>
            <w:tcW w:type="dxa" w:w="1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$8,400.00</w:t>
            </w:r>
          </w:p>
        </w:tc>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Hotel budget ($300/night/pax)</w:t>
            </w:r>
          </w:p>
        </w:tc>
      </w:tr>
      <w:tr>
        <w:tc>
          <w:tcPr>
            <w:tcW w:type="dxa" w:w="5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3</w:t>
            </w:r>
          </w:p>
        </w:tc>
        <w:tc>
          <w:tcPr>
            <w:tcW w:type="dxa" w:w="1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Subsistence Allowance</w:t>
            </w:r>
          </w:p>
        </w:tc>
        <w:tc>
          <w:tcPr>
            <w:tcW w:type="dxa" w:w="11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$115.00</w:t>
            </w:r>
          </w:p>
        </w:tc>
        <w:tc>
          <w:tcPr>
            <w:tcW w:type="dxa" w:w="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4</w:t>
            </w:r>
          </w:p>
        </w:tc>
        <w:tc>
          <w:tcPr>
            <w:tcW w:type="dxa" w:w="13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8 days</w:t>
            </w:r>
          </w:p>
        </w:tc>
        <w:tc>
          <w:tcPr>
            <w:tcW w:type="dxa" w:w="1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$3,680.00</w:t>
            </w:r>
          </w:p>
        </w:tc>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Daily overseas allowance ($115/day/pax)</w:t>
            </w:r>
          </w:p>
        </w:tc>
      </w:tr>
      <w:tr>
        <w:tc>
          <w:tcPr>
            <w:tcW w:type="dxa" w:w="5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4</w:t>
            </w:r>
          </w:p>
        </w:tc>
        <w:tc>
          <w:tcPr>
            <w:tcW w:type="dxa" w:w="1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Travel Insurance</w:t>
            </w:r>
          </w:p>
        </w:tc>
        <w:tc>
          <w:tcPr>
            <w:tcW w:type="dxa" w:w="11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$60.00</w:t>
            </w:r>
          </w:p>
        </w:tc>
        <w:tc>
          <w:tcPr>
            <w:tcW w:type="dxa" w:w="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4</w:t>
            </w:r>
          </w:p>
        </w:tc>
        <w:tc>
          <w:tcPr>
            <w:tcW w:type="dxa" w:w="13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1 policy</w:t>
            </w:r>
          </w:p>
        </w:tc>
        <w:tc>
          <w:tcPr>
            <w:tcW w:type="dxa" w:w="1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$240.00</w:t>
            </w:r>
          </w:p>
        </w:tc>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Overseas travel insurance</w:t>
            </w:r>
          </w:p>
        </w:tc>
      </w:tr>
      <w:tr>
        <w:tc>
          <w:tcPr>
            <w:tcW w:type="dxa" w:w="5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5</w:t>
            </w:r>
          </w:p>
        </w:tc>
        <w:tc>
          <w:tcPr>
            <w:tcW w:type="dxa" w:w="1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WiFi / Mobile Data</w:t>
            </w:r>
          </w:p>
        </w:tc>
        <w:tc>
          <w:tcPr>
            <w:tcW w:type="dxa" w:w="11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$100.00</w:t>
            </w:r>
          </w:p>
        </w:tc>
        <w:tc>
          <w:tcPr>
            <w:tcW w:type="dxa" w:w="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4</w:t>
            </w:r>
          </w:p>
        </w:tc>
        <w:tc>
          <w:tcPr>
            <w:tcW w:type="dxa" w:w="13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1 device/pax</w:t>
            </w:r>
          </w:p>
        </w:tc>
        <w:tc>
          <w:tcPr>
            <w:tcW w:type="dxa" w:w="1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$400.00</w:t>
            </w:r>
          </w:p>
        </w:tc>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Roaming / SIM data connection</w:t>
            </w:r>
          </w:p>
        </w:tc>
      </w:tr>
      <w:tr>
        <w:tc>
          <w:tcPr>
            <w:tcW w:type="dxa" w:w="5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6</w:t>
            </w:r>
          </w:p>
        </w:tc>
        <w:tc>
          <w:tcPr>
            <w:tcW w:type="dxa" w:w="1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High-Speed Rail (HSR)</w:t>
            </w:r>
          </w:p>
        </w:tc>
        <w:tc>
          <w:tcPr>
            <w:tcW w:type="dxa" w:w="11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$50.00</w:t>
            </w:r>
          </w:p>
        </w:tc>
        <w:tc>
          <w:tcPr>
            <w:tcW w:type="dxa" w:w="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4</w:t>
            </w:r>
          </w:p>
        </w:tc>
        <w:tc>
          <w:tcPr>
            <w:tcW w:type="dxa" w:w="13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2 trips</w:t>
            </w:r>
          </w:p>
        </w:tc>
        <w:tc>
          <w:tcPr>
            <w:tcW w:type="dxa" w:w="1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$400.00</w:t>
            </w:r>
          </w:p>
        </w:tc>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HSR transfers (Nanjing → Hangzhou, Hangzhou → Suzhou)</w:t>
            </w:r>
          </w:p>
        </w:tc>
      </w:tr>
      <w:tr>
        <w:tc>
          <w:tcPr>
            <w:tcW w:type="dxa" w:w="5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7</w:t>
            </w:r>
          </w:p>
        </w:tc>
        <w:tc>
          <w:tcPr>
            <w:tcW w:type="dxa" w:w="1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Domestic Ground Transport</w:t>
            </w:r>
          </w:p>
        </w:tc>
        <w:tc>
          <w:tcPr>
            <w:tcW w:type="dxa" w:w="11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$300.00</w:t>
            </w:r>
          </w:p>
        </w:tc>
        <w:tc>
          <w:tcPr>
            <w:tcW w:type="dxa" w:w="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4</w:t>
            </w:r>
          </w:p>
        </w:tc>
        <w:tc>
          <w:tcPr>
            <w:tcW w:type="dxa" w:w="13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Lump sum</w:t>
            </w:r>
          </w:p>
        </w:tc>
        <w:tc>
          <w:tcPr>
            <w:tcW w:type="dxa" w:w="1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$1,200.00</w:t>
            </w:r>
          </w:p>
        </w:tc>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Inter-city car transfers, local taxis</w:t>
            </w:r>
          </w:p>
        </w:tc>
      </w:tr>
      <w:tr>
        <w:tc>
          <w:tcPr>
            <w:tcW w:type="dxa" w:w="5360"/>
            <w:gridSpan w:val="5"/>
            <w:tcBorders>
              <w:top w:val="single" w:color="999999" w:sz="1"/>
              <w:left w:val="single" w:color="999999" w:sz="1"/>
              <w:bottom w:val="single" w:color="999999" w:sz="1"/>
              <w:right w:val="single" w:color="999999" w:sz="1"/>
            </w:tcBorders>
            <w:shd w:fill="F2F2F2" w:val="clear"/>
            <w:tcMar>
              <w:top w:type="dxa" w:w="80"/>
              <w:left w:type="dxa" w:w="100"/>
              <w:bottom w:type="dxa" w:w="80"/>
              <w:right w:type="dxa" w:w="100"/>
            </w:tcMar>
            <w:vAlign w:val="center"/>
          </w:tcPr>
          <w:p>
            <w:r>
              <w:rPr>
                <w:b/>
                <w:bCs/>
                <w:sz w:val="18"/>
                <w:szCs w:val="18"/>
              </w:rPr>
              <w:t xml:space="preserve">Sub-Total</w:t>
            </w:r>
          </w:p>
        </w:tc>
        <w:tc>
          <w:tcPr>
            <w:tcW w:type="dxa" w:w="1200"/>
            <w:tcBorders>
              <w:top w:val="single" w:color="999999" w:sz="1"/>
              <w:left w:val="single" w:color="999999" w:sz="1"/>
              <w:bottom w:val="single" w:color="999999" w:sz="1"/>
              <w:right w:val="single" w:color="999999" w:sz="1"/>
            </w:tcBorders>
            <w:shd w:fill="F2F2F2" w:val="clear"/>
            <w:tcMar>
              <w:top w:type="dxa" w:w="80"/>
              <w:left w:type="dxa" w:w="100"/>
              <w:bottom w:type="dxa" w:w="80"/>
              <w:right w:type="dxa" w:w="100"/>
            </w:tcMar>
            <w:vAlign w:val="center"/>
          </w:tcPr>
          <w:p>
            <w:r>
              <w:rPr>
                <w:b/>
                <w:bCs/>
                <w:sz w:val="18"/>
                <w:szCs w:val="18"/>
              </w:rPr>
              <w:t xml:space="preserve">$21,208.00</w:t>
            </w:r>
          </w:p>
        </w:tc>
        <w:tc>
          <w:tcPr>
            <w:tcW w:type="dxa" w:w="2800"/>
            <w:tcBorders>
              <w:top w:val="single" w:color="999999" w:sz="1"/>
              <w:left w:val="single" w:color="999999" w:sz="1"/>
              <w:bottom w:val="single" w:color="999999" w:sz="1"/>
              <w:right w:val="single" w:color="999999" w:sz="1"/>
            </w:tcBorders>
            <w:shd w:fill="F2F2F2" w:val="clear"/>
            <w:tcMar>
              <w:top w:type="dxa" w:w="80"/>
              <w:left w:type="dxa" w:w="100"/>
              <w:bottom w:type="dxa" w:w="80"/>
              <w:right w:type="dxa" w:w="100"/>
            </w:tcMar>
            <w:vAlign w:val="center"/>
          </w:tcPr>
          <w:p>
            <w:r>
              <w:rPr>
                <w:b/>
                <w:bCs/>
                <w:sz w:val="18"/>
                <w:szCs w:val="18"/>
              </w:rPr>
              <w:t xml:space="preserve"/>
            </w:r>
          </w:p>
        </w:tc>
      </w:tr>
      <w:tr>
        <w:tc>
          <w:tcPr>
            <w:tcW w:type="dxa" w:w="5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8</w:t>
            </w:r>
          </w:p>
        </w:tc>
        <w:tc>
          <w:tcPr>
            <w:tcW w:type="dxa" w:w="1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Contingency Fund (5%)</w:t>
            </w:r>
          </w:p>
        </w:tc>
        <w:tc>
          <w:tcPr>
            <w:tcW w:type="dxa" w:w="11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
            </w:r>
          </w:p>
        </w:tc>
        <w:tc>
          <w:tcPr>
            <w:tcW w:type="dxa" w:w="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
            </w:r>
          </w:p>
        </w:tc>
        <w:tc>
          <w:tcPr>
            <w:tcW w:type="dxa" w:w="13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
            </w:r>
          </w:p>
        </w:tc>
        <w:tc>
          <w:tcPr>
            <w:tcW w:type="dxa" w:w="1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$1,060.40</w:t>
            </w:r>
          </w:p>
        </w:tc>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5% of Sub-Total for incidental expenses</w:t>
            </w:r>
          </w:p>
        </w:tc>
      </w:tr>
      <w:tr>
        <w:tc>
          <w:tcPr>
            <w:tcW w:type="dxa" w:w="5360"/>
            <w:gridSpan w:val="5"/>
            <w:tcBorders>
              <w:top w:val="single" w:color="999999" w:sz="1"/>
              <w:left w:val="single" w:color="999999" w:sz="1"/>
              <w:bottom w:val="single" w:color="999999" w:sz="1"/>
              <w:right w:val="single" w:color="999999" w:sz="1"/>
            </w:tcBorders>
            <w:shd w:fill="F2F2F2" w:val="clear"/>
            <w:tcMar>
              <w:top w:type="dxa" w:w="80"/>
              <w:left w:type="dxa" w:w="100"/>
              <w:bottom w:type="dxa" w:w="80"/>
              <w:right w:type="dxa" w:w="100"/>
            </w:tcMar>
            <w:vAlign w:val="center"/>
          </w:tcPr>
          <w:p>
            <w:r>
              <w:rPr>
                <w:b/>
                <w:bCs/>
                <w:sz w:val="18"/>
                <w:szCs w:val="18"/>
              </w:rPr>
              <w:t xml:space="preserve">Total Estimated Cost</w:t>
            </w:r>
          </w:p>
        </w:tc>
        <w:tc>
          <w:tcPr>
            <w:tcW w:type="dxa" w:w="1200"/>
            <w:tcBorders>
              <w:top w:val="single" w:color="999999" w:sz="1"/>
              <w:left w:val="single" w:color="999999" w:sz="1"/>
              <w:bottom w:val="single" w:color="999999" w:sz="1"/>
              <w:right w:val="single" w:color="999999" w:sz="1"/>
            </w:tcBorders>
            <w:shd w:fill="F2F2F2" w:val="clear"/>
            <w:tcMar>
              <w:top w:type="dxa" w:w="80"/>
              <w:left w:type="dxa" w:w="100"/>
              <w:bottom w:type="dxa" w:w="80"/>
              <w:right w:type="dxa" w:w="100"/>
            </w:tcMar>
            <w:vAlign w:val="center"/>
          </w:tcPr>
          <w:p>
            <w:r>
              <w:rPr>
                <w:b/>
                <w:bCs/>
                <w:sz w:val="18"/>
                <w:szCs w:val="18"/>
              </w:rPr>
              <w:t xml:space="preserve">$22,268.40</w:t>
            </w:r>
          </w:p>
        </w:tc>
        <w:tc>
          <w:tcPr>
            <w:tcW w:type="dxa" w:w="2800"/>
            <w:tcBorders>
              <w:top w:val="single" w:color="999999" w:sz="1"/>
              <w:left w:val="single" w:color="999999" w:sz="1"/>
              <w:bottom w:val="single" w:color="999999" w:sz="1"/>
              <w:right w:val="single" w:color="999999" w:sz="1"/>
            </w:tcBorders>
            <w:shd w:fill="F2F2F2" w:val="clear"/>
            <w:tcMar>
              <w:top w:type="dxa" w:w="80"/>
              <w:left w:type="dxa" w:w="100"/>
              <w:bottom w:type="dxa" w:w="80"/>
              <w:right w:type="dxa" w:w="100"/>
            </w:tcMar>
            <w:vAlign w:val="center"/>
          </w:tcPr>
          <w:p>
            <w:r>
              <w:rPr>
                <w:b/>
                <w:bCs/>
                <w:sz w:val="18"/>
                <w:szCs w:val="18"/>
              </w:rPr>
              <w:t xml:space="preserve"/>
            </w:r>
          </w:p>
        </w:tc>
      </w:tr>
      <w:tr>
        <w:tc>
          <w:tcPr>
            <w:tcW w:type="dxa" w:w="5360"/>
            <w:gridSpan w:val="5"/>
            <w:tcBorders>
              <w:top w:val="single" w:color="999999" w:sz="1"/>
              <w:left w:val="single" w:color="999999" w:sz="1"/>
              <w:bottom w:val="single" w:color="999999" w:sz="1"/>
              <w:right w:val="single" w:color="999999" w:sz="1"/>
            </w:tcBorders>
            <w:shd w:fill="D5E8F0" w:val="clear"/>
            <w:tcMar>
              <w:top w:type="dxa" w:w="80"/>
              <w:left w:type="dxa" w:w="100"/>
              <w:bottom w:type="dxa" w:w="80"/>
              <w:right w:type="dxa" w:w="100"/>
            </w:tcMar>
            <w:vAlign w:val="center"/>
          </w:tcPr>
          <w:p>
            <w:r>
              <w:rPr>
                <w:b/>
                <w:bCs/>
                <w:sz w:val="18"/>
                <w:szCs w:val="18"/>
              </w:rPr>
              <w:t xml:space="preserve">Recommended Budget Approval (Round Up)</w:t>
            </w:r>
          </w:p>
        </w:tc>
        <w:tc>
          <w:tcPr>
            <w:tcW w:type="dxa" w:w="1200"/>
            <w:tcBorders>
              <w:top w:val="single" w:color="999999" w:sz="1"/>
              <w:left w:val="single" w:color="999999" w:sz="1"/>
              <w:bottom w:val="single" w:color="999999" w:sz="1"/>
              <w:right w:val="single" w:color="999999" w:sz="1"/>
            </w:tcBorders>
            <w:shd w:fill="D5E8F0" w:val="clear"/>
            <w:tcMar>
              <w:top w:type="dxa" w:w="80"/>
              <w:left w:type="dxa" w:w="100"/>
              <w:bottom w:type="dxa" w:w="80"/>
              <w:right w:type="dxa" w:w="100"/>
            </w:tcMar>
            <w:vAlign w:val="center"/>
          </w:tcPr>
          <w:p>
            <w:r>
              <w:rPr>
                <w:b/>
                <w:bCs/>
                <w:sz w:val="18"/>
                <w:szCs w:val="18"/>
              </w:rPr>
              <w:t xml:space="preserve">$23,000.00</w:t>
            </w:r>
          </w:p>
        </w:tc>
        <w:tc>
          <w:tcPr>
            <w:tcW w:type="dxa" w:w="2800"/>
            <w:tcBorders>
              <w:top w:val="single" w:color="999999" w:sz="1"/>
              <w:left w:val="single" w:color="999999" w:sz="1"/>
              <w:bottom w:val="single" w:color="999999" w:sz="1"/>
              <w:right w:val="single" w:color="999999" w:sz="1"/>
            </w:tcBorders>
            <w:shd w:fill="D5E8F0" w:val="clear"/>
            <w:tcMar>
              <w:top w:type="dxa" w:w="80"/>
              <w:left w:type="dxa" w:w="100"/>
              <w:bottom w:type="dxa" w:w="80"/>
              <w:right w:type="dxa" w:w="100"/>
            </w:tcMar>
            <w:vAlign w:val="center"/>
          </w:tcPr>
          <w:p>
            <w:r>
              <w:rPr>
                <w:b/>
                <w:bCs/>
                <w:sz w:val="18"/>
                <w:szCs w:val="18"/>
              </w:rPr>
              <w:t xml:space="preserve"/>
            </w:r>
          </w:p>
        </w:tc>
      </w:tr>
    </w:tbl>
    <w:p>
      <w:pPr>
        <w:spacing w:after="100" w:before="240"/>
      </w:pPr>
      <w:r>
        <w:rPr>
          <w:b/>
          <w:bCs/>
        </w:rPr>
        <w:t xml:space="preserve">Table C: Budget Summary per Participant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660"/>
        <w:gridCol w:w="2400"/>
      </w:tblGrid>
      <w:tr>
        <w:trPr>
          <w:tblHeader/>
        </w:trPr>
        <w:tc>
          <w:tcPr>
            <w:tcW w:type="dxa" w:w="7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vAlign w:val="center"/>
          </w:tcPr>
          <w:p>
            <w:r>
              <w:rPr>
                <w:b/>
                <w:bCs/>
                <w:color w:val="FFFFFF"/>
                <w:sz w:val="18"/>
                <w:szCs w:val="18"/>
              </w:rPr>
              <w:t xml:space="preserve">S/No.</w:t>
            </w:r>
          </w:p>
        </w:tc>
        <w:tc>
          <w:tcPr>
            <w:tcW w:type="dxa" w:w="26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vAlign w:val="center"/>
          </w:tcPr>
          <w:p>
            <w:r>
              <w:rPr>
                <w:b/>
                <w:bCs/>
                <w:color w:val="FFFFFF"/>
                <w:sz w:val="18"/>
                <w:szCs w:val="18"/>
              </w:rPr>
              <w:t xml:space="preserve">Name</w:t>
            </w:r>
          </w:p>
        </w:tc>
        <w:tc>
          <w:tcPr>
            <w:tcW w:type="dxa" w:w="366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vAlign w:val="center"/>
          </w:tcPr>
          <w:p>
            <w:r>
              <w:rPr>
                <w:b/>
                <w:bCs/>
                <w:color w:val="FFFFFF"/>
                <w:sz w:val="18"/>
                <w:szCs w:val="18"/>
              </w:rPr>
              <w:t xml:space="preserve">Designation</w:t>
            </w:r>
          </w:p>
        </w:tc>
        <w:tc>
          <w:tcPr>
            <w:tcW w:type="dxa" w:w="24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vAlign w:val="center"/>
          </w:tcPr>
          <w:p>
            <w:r>
              <w:rPr>
                <w:b/>
                <w:bCs/>
                <w:color w:val="FFFFFF"/>
                <w:sz w:val="18"/>
                <w:szCs w:val="18"/>
              </w:rPr>
              <w:t xml:space="preserve">Estimated Cost (SGD)</w:t>
            </w:r>
          </w:p>
        </w:tc>
      </w:tr>
      <w:tr>
        <w:tc>
          <w:tcPr>
            <w:tcW w:type="dxa" w:w="7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1</w:t>
            </w:r>
          </w:p>
        </w:tc>
        <w:tc>
          <w:tcPr>
            <w:tcW w:type="dxa" w:w="2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Ms Wan Fang</w:t>
            </w:r>
          </w:p>
        </w:tc>
        <w:tc>
          <w:tcPr>
            <w:tcW w:type="dxa" w:w="36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Director, Rail Digitalisation and Guild</w:t>
            </w:r>
          </w:p>
        </w:tc>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$5,567.10</w:t>
            </w:r>
          </w:p>
        </w:tc>
      </w:tr>
      <w:tr>
        <w:tc>
          <w:tcPr>
            <w:tcW w:type="dxa" w:w="7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2</w:t>
            </w:r>
          </w:p>
        </w:tc>
        <w:tc>
          <w:tcPr>
            <w:tcW w:type="dxa" w:w="2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Mr Wang Yizhen</w:t>
            </w:r>
          </w:p>
        </w:tc>
        <w:tc>
          <w:tcPr>
            <w:tcW w:type="dxa" w:w="36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Manager, Rail Digitalisation and Guild</w:t>
            </w:r>
          </w:p>
        </w:tc>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$5,567.10</w:t>
            </w:r>
          </w:p>
        </w:tc>
      </w:tr>
      <w:tr>
        <w:tc>
          <w:tcPr>
            <w:tcW w:type="dxa" w:w="7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3</w:t>
            </w:r>
          </w:p>
        </w:tc>
        <w:tc>
          <w:tcPr>
            <w:tcW w:type="dxa" w:w="2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Mr Zhao Xihui</w:t>
            </w:r>
          </w:p>
        </w:tc>
        <w:tc>
          <w:tcPr>
            <w:tcW w:type="dxa" w:w="36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Manager, Rail Digitalisation and Guild</w:t>
            </w:r>
          </w:p>
        </w:tc>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$5,567.10</w:t>
            </w:r>
          </w:p>
        </w:tc>
      </w:tr>
      <w:tr>
        <w:tc>
          <w:tcPr>
            <w:tcW w:type="dxa" w:w="7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4</w:t>
            </w:r>
          </w:p>
        </w:tc>
        <w:tc>
          <w:tcPr>
            <w:tcW w:type="dxa" w:w="2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Mr Ao Chin Wen</w:t>
            </w:r>
          </w:p>
        </w:tc>
        <w:tc>
          <w:tcPr>
            <w:tcW w:type="dxa" w:w="36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Principal Engineer, Rail Digitalisation and Guild</w:t>
            </w:r>
          </w:p>
        </w:tc>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rPr>
                <w:b w:val="false"/>
                <w:bCs w:val="false"/>
                <w:sz w:val="18"/>
                <w:szCs w:val="18"/>
              </w:rPr>
              <w:t xml:space="preserve">$5,567.10</w:t>
            </w:r>
          </w:p>
        </w:tc>
      </w:tr>
      <w:tr>
        <w:tc>
          <w:tcPr>
            <w:tcW w:type="dxa" w:w="6960"/>
            <w:gridSpan w:val="3"/>
            <w:tcBorders>
              <w:top w:val="single" w:color="999999" w:sz="1"/>
              <w:left w:val="single" w:color="999999" w:sz="1"/>
              <w:bottom w:val="single" w:color="999999" w:sz="1"/>
              <w:right w:val="single" w:color="999999" w:sz="1"/>
            </w:tcBorders>
            <w:shd w:fill="F2F2F2" w:val="clear"/>
            <w:tcMar>
              <w:top w:type="dxa" w:w="80"/>
              <w:left w:type="dxa" w:w="100"/>
              <w:bottom w:type="dxa" w:w="80"/>
              <w:right w:type="dxa" w:w="100"/>
            </w:tcMar>
            <w:vAlign w:val="center"/>
          </w:tcPr>
          <w:p>
            <w:r>
              <w:rPr>
                <w:b/>
                <w:bCs/>
                <w:sz w:val="18"/>
                <w:szCs w:val="18"/>
              </w:rPr>
              <w:t xml:space="preserve">Total Estimated Cost</w:t>
            </w:r>
          </w:p>
        </w:tc>
        <w:tc>
          <w:tcPr>
            <w:tcW w:type="dxa" w:w="2400"/>
            <w:tcBorders>
              <w:top w:val="single" w:color="999999" w:sz="1"/>
              <w:left w:val="single" w:color="999999" w:sz="1"/>
              <w:bottom w:val="single" w:color="999999" w:sz="1"/>
              <w:right w:val="single" w:color="999999" w:sz="1"/>
            </w:tcBorders>
            <w:shd w:fill="F2F2F2" w:val="clear"/>
            <w:tcMar>
              <w:top w:type="dxa" w:w="80"/>
              <w:left w:type="dxa" w:w="100"/>
              <w:bottom w:type="dxa" w:w="80"/>
              <w:right w:type="dxa" w:w="100"/>
            </w:tcMar>
            <w:vAlign w:val="center"/>
          </w:tcPr>
          <w:p>
            <w:r>
              <w:rPr>
                <w:b/>
                <w:bCs/>
                <w:sz w:val="18"/>
                <w:szCs w:val="18"/>
              </w:rPr>
              <w:t xml:space="preserve">$22,268.40</w:t>
            </w:r>
          </w:p>
        </w:tc>
      </w:tr>
      <w:tr>
        <w:tc>
          <w:tcPr>
            <w:tcW w:type="dxa" w:w="6960"/>
            <w:gridSpan w:val="3"/>
            <w:tcBorders>
              <w:top w:val="single" w:color="999999" w:sz="1"/>
              <w:left w:val="single" w:color="999999" w:sz="1"/>
              <w:bottom w:val="single" w:color="999999" w:sz="1"/>
              <w:right w:val="single" w:color="999999" w:sz="1"/>
            </w:tcBorders>
            <w:shd w:fill="D5E8F0" w:val="clear"/>
            <w:tcMar>
              <w:top w:type="dxa" w:w="80"/>
              <w:left w:type="dxa" w:w="100"/>
              <w:bottom w:type="dxa" w:w="80"/>
              <w:right w:type="dxa" w:w="100"/>
            </w:tcMar>
            <w:vAlign w:val="center"/>
          </w:tcPr>
          <w:p>
            <w:r>
              <w:rPr>
                <w:b/>
                <w:bCs/>
                <w:sz w:val="18"/>
                <w:szCs w:val="18"/>
              </w:rPr>
              <w:t xml:space="preserve">Round Up Request</w:t>
            </w:r>
          </w:p>
        </w:tc>
        <w:tc>
          <w:tcPr>
            <w:tcW w:type="dxa" w:w="2400"/>
            <w:tcBorders>
              <w:top w:val="single" w:color="999999" w:sz="1"/>
              <w:left w:val="single" w:color="999999" w:sz="1"/>
              <w:bottom w:val="single" w:color="999999" w:sz="1"/>
              <w:right w:val="single" w:color="999999" w:sz="1"/>
            </w:tcBorders>
            <w:shd w:fill="D5E8F0" w:val="clear"/>
            <w:tcMar>
              <w:top w:type="dxa" w:w="80"/>
              <w:left w:type="dxa" w:w="100"/>
              <w:bottom w:type="dxa" w:w="80"/>
              <w:right w:type="dxa" w:w="100"/>
            </w:tcMar>
            <w:vAlign w:val="center"/>
          </w:tcPr>
          <w:p>
            <w:r>
              <w:rPr>
                <w:b/>
                <w:bCs/>
                <w:sz w:val="18"/>
                <w:szCs w:val="18"/>
              </w:rPr>
              <w:t xml:space="preserve">$23,000.00</w:t>
            </w:r>
          </w:p>
        </w:tc>
      </w:tr>
    </w:tbl>
    <w:p>
      <w:pPr>
        <w:pStyle w:val="Heading1"/>
      </w:pPr>
      <w:r>
        <w:t xml:space="preserve">IT EQUIPMENT REQUIREMENT – LOAN OF LAPTOP</w:t>
      </w:r>
    </w:p>
    <w:p>
      <w:pPr>
        <w:spacing w:after="160"/>
      </w:pPr>
      <w:r>
        <w:rPr>
          <w:b w:val="false"/>
          <w:bCs w:val="false"/>
        </w:rPr>
        <w:t xml:space="preserve">In accordance with LTA cybersecurity guidelines for overseas travel, CE’s approval is sought for the loan of 4 x clean GSIB laptops from ITCD for all participating officers:</w:t>
      </w:r>
    </w:p>
    <w:p>
      <w:pPr>
        <w:pStyle w:val="ListParagraph"/>
        <w:numPr>
          <w:ilvl w:val="0"/>
          <w:numId w:val="2"/>
        </w:numPr>
        <w:spacing w:after="100"/>
      </w:pPr>
      <w:r>
        <w:t xml:space="preserve">Ms Wan Fang</w:t>
      </w:r>
    </w:p>
    <w:p>
      <w:pPr>
        <w:pStyle w:val="ListParagraph"/>
        <w:numPr>
          <w:ilvl w:val="0"/>
          <w:numId w:val="2"/>
        </w:numPr>
        <w:spacing w:after="100"/>
      </w:pPr>
      <w:r>
        <w:t xml:space="preserve">Mr Wang Yizhen</w:t>
      </w:r>
    </w:p>
    <w:p>
      <w:pPr>
        <w:pStyle w:val="ListParagraph"/>
        <w:numPr>
          <w:ilvl w:val="0"/>
          <w:numId w:val="2"/>
        </w:numPr>
        <w:spacing w:after="100"/>
      </w:pPr>
      <w:r>
        <w:t xml:space="preserve">Mr Zhao Xihui</w:t>
      </w:r>
    </w:p>
    <w:p>
      <w:pPr>
        <w:pStyle w:val="ListParagraph"/>
        <w:numPr>
          <w:ilvl w:val="0"/>
          <w:numId w:val="2"/>
        </w:numPr>
        <w:spacing w:after="100"/>
      </w:pPr>
      <w:r>
        <w:t xml:space="preserve">Mr Ao Chin Wen</w:t>
      </w:r>
    </w:p>
    <w:p>
      <w:pPr>
        <w:pStyle w:val="Heading1"/>
      </w:pPr>
      <w:r>
        <w:t xml:space="preserve">FUNDING AVAILABILITY</w:t>
      </w:r>
    </w:p>
    <w:p>
      <w:pPr>
        <w:spacing w:after="160"/>
      </w:pPr>
      <w:r>
        <w:rPr>
          <w:b w:val="false"/>
          <w:bCs w:val="false"/>
        </w:rPr>
        <w:t xml:space="preserve">The funding allocation will be drawn under the Rail Digitalisation and Guild division operating budget / relevant GL account.</w:t>
      </w:r>
    </w:p>
    <w:p>
      <w:pPr>
        <w:pStyle w:val="Heading1"/>
      </w:pPr>
      <w:r>
        <w:t xml:space="preserve">FOR APPROVAL</w:t>
      </w:r>
    </w:p>
    <w:p>
      <w:pPr>
        <w:spacing w:after="160"/>
      </w:pPr>
      <w:r>
        <w:rPr>
          <w:b w:val="false"/>
          <w:bCs w:val="false"/>
        </w:rPr>
        <w:t xml:space="preserve">CE’s approval is sought for:</w:t>
      </w:r>
    </w:p>
    <w:p>
      <w:pPr>
        <w:pStyle w:val="ListParagraph"/>
        <w:numPr>
          <w:ilvl w:val="0"/>
          <w:numId w:val="3"/>
        </w:numPr>
        <w:spacing w:after="120"/>
      </w:pPr>
      <w:r>
        <w:t xml:space="preserve">A total budget of S$23,000.00 to send 4 LTA officers from the Rail Digitalisation and Guild division on the official work trip to Shenzhen, Hefei, Nanjing, Hangzhou, Suzhou, and Shanghai, China, from 23 August 2026 to 30 August 2026; and</w:t>
      </w:r>
    </w:p>
    <w:p>
      <w:pPr>
        <w:pStyle w:val="ListParagraph"/>
        <w:numPr>
          <w:ilvl w:val="0"/>
          <w:numId w:val="3"/>
        </w:numPr>
        <w:spacing w:after="120"/>
      </w:pPr>
      <w:r>
        <w:t xml:space="preserve">The loan of 4 x clean GSIB laptops for the officers for cybersecurity compliance during the trip.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RESTRICTED (until approved)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2026-07-30T11:28:55.748Z</dcterms:created>
  <dcterms:modified xsi:type="dcterms:W3CDTF">2026-07-30T11:28:55.749Z</dcterms:modified>
</cp:coreProperties>
</file>

<file path=docProps/custom.xml><?xml version="1.0" encoding="utf-8"?>
<Properties xmlns="http://schemas.openxmlformats.org/officeDocument/2006/custom-properties" xmlns:vt="http://schemas.openxmlformats.org/officeDocument/2006/docPropsVTypes"/>
</file>