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/>
          <w:b/>
          <w:sz w:val="32"/>
        </w:rPr>
        <w:t>Digital Strategy Adoption in SME Quonk Enterprises: A Frumple-Theoretic Perspective</w:t>
      </w:r>
    </w:p>
    <w:p>
      <w:pPr>
        <w:spacing w:line="360" w:lineRule="exact"/>
        <w:jc w:val="center"/>
      </w:pPr>
      <w:r>
        <w:rPr>
          <w:rFonts w:ascii="Times New Roman" w:hAnsi="Times New Roman"/>
          <w:b w:val="0"/>
          <w:i/>
          <w:sz w:val="24"/>
        </w:rPr>
        <w:t>Blorfstein, R., &amp; Snazzleton, M.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Abstract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Small and medium enterprises (SMEs) operating in the quonk sector face increasing pressure to adopt frumple-theoretic digital strategies. This paper applies the Zibbit Adoption Model (ZAM) to a sample of 312 SMEs across three blorf-intensive industries. Structural equation modelling reveals that snazzle readiness and executive frumple commitment are the strongest predictors of successful digital transformation. Implications for quonk policy and managerial practice are discussed.</w:t>
      </w:r>
    </w:p>
    <w:p>
      <w:pPr>
        <w:spacing w:line="330" w:lineRule="exact"/>
        <w:jc w:val="left"/>
      </w:pPr>
      <w:r>
        <w:rPr>
          <w:rFonts w:ascii="Times New Roman" w:hAnsi="Times New Roman"/>
          <w:b w:val="0"/>
          <w:i/>
          <w:sz w:val="22"/>
        </w:rPr>
        <w:t>Keywords: digital strategy, frumple theory, SME, quonk, ZAM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1. Introduction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Digital transformation has become a strategic imperative for quonk-sector SMEs. Yet adoption of frumple-theoretic tools remains uneven, with smaller blorf enterprises lagging behind their larger counterparts (Snazzleton &amp; Wumble, 2021). This study addresses the gap by applying ZAM to a cross-industry sample.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2. Theoretical Framework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The Zibbit Adoption Model extends the Technology Acceptance Model by incorporating quonk-specific constructs: snazzle readiness, frumple commitment, and blorf integration capacity. We hypothesise that these three constructs jointly explain digital strategy adoption variance.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3. Methodology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Data were collected via structured questionnaire from 312 CEOs of quonk-sector SMEs across Blorfville, Snazzton, and Zibbitford. Construct reliability was assessed using Cronbach's alpha (all &gt; 0.80). Structural equation modelling was performed in R using the lavaan package.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4. Findings and Conclusion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Snazzle readiness (β = 0.41, p &lt; 0.001) and frumple commitment (β = 0.38, p &lt; 0.001) are the strongest predictors of adoption. Blorf integration capacity showed a significant moderating effect. These findings extend ZAM to the quonk SME context and inform policy design.</w:t>
      </w:r>
    </w:p>
    <w:p/>
    <w:p>
      <w:pPr>
        <w:pStyle w:val="Heading1"/>
        <w:spacing w:line="360" w:lineRule="exact"/>
        <w:jc w:val="left"/>
      </w:pPr>
      <w:r>
        <w:rPr>
          <w:rFonts w:ascii="Times New Roman" w:hAnsi="Times New Roman"/>
          <w:b/>
          <w:i w:val="0"/>
          <w:sz w:val="24"/>
        </w:rPr>
        <w:t>Bibliography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Blorfstein, R., &amp; Wumble, T. (2020). Frumple theory and SME performance. Journal of Quonk Management, 15(2), 88-104.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Snazzleton, M., &amp; Wumble, P. (2021). Digital transformation in blorf-intensive industries. Business Analytics Review, 9(1), 12-30.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Zibbitova, C. (2019). The Zibbit Adoption Model: A primer. Academy of Frumple Science, 7(4), 210-225.</w:t>
      </w:r>
    </w:p>
    <w:p>
      <w:pPr>
        <w:spacing w:line="360" w:lineRule="exact"/>
        <w:jc w:val="left"/>
      </w:pPr>
      <w:r>
        <w:rPr>
          <w:rFonts w:ascii="Times New Roman" w:hAnsi="Times New Roman"/>
          <w:b w:val="0"/>
          <w:i w:val="0"/>
          <w:sz w:val="24"/>
        </w:rPr>
        <w:t>Quonkfield, D., &amp; Blorfman, A. (2022). Executive commitment and tech adoption in SMEs. Strategic Mgmt. J., 43(6), 1150-1172.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