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A Systematic Review of Frumple Architectures in Modern Zibbit Systems: Trends, Gaps, and Future Directions</w:t>
      </w:r>
    </w:p>
    <w:p>
      <w:pPr>
        <w:spacing w:line="360" w:lineRule="exact"/>
        <w:jc w:val="center"/>
      </w:pPr>
      <w:r>
        <w:rPr>
          <w:rFonts w:ascii="Times New Roman" w:hAnsi="Times New Roman"/>
          <w:b w:val="0"/>
          <w:i/>
          <w:sz w:val="24"/>
        </w:rPr>
        <w:t>Snazzleton, A., Frumpleston, B., &amp; Zibbitova, C.</w:t>
      </w:r>
    </w:p>
    <w:p/>
    <w:p>
      <w:pPr>
        <w:pStyle w:val="Heading1"/>
        <w:spacing w:line="360" w:lineRule="exact"/>
        <w:jc w:val="left"/>
      </w:pPr>
      <w:r>
        <w:rPr>
          <w:rFonts w:ascii="Times New Roman" w:hAnsi="Times New Roman"/>
          <w:b/>
          <w:i w:val="0"/>
          <w:sz w:val="24"/>
        </w:rPr>
        <w:t>Abstract</w:t>
      </w:r>
    </w:p>
    <w:p>
      <w:pPr>
        <w:spacing w:line="360" w:lineRule="exact"/>
        <w:jc w:val="left"/>
      </w:pPr>
      <w:r>
        <w:rPr>
          <w:rFonts w:ascii="Times New Roman" w:hAnsi="Times New Roman"/>
          <w:b w:val="0"/>
          <w:i w:val="0"/>
          <w:sz w:val="24"/>
        </w:rPr>
        <w:t>This systematic review synthesises 47 primary studies published between 2015 and 2024 on frumple architectures deployed within zibbit-enabled systems. Following PRISMA guidelines, we identify four dominant architectural families: monolithic blorf, micro-snazzle, event-driven quonk, and hybrid zibbit-frumple. Cross-study meta-analysis reveals a 33% average throughput advantage for hybrid architectures under bursty blorf loads. Critical gaps in multi-tenant quonk scalability and formal frumple verification methods are identified as priorities for future work.</w:t>
      </w:r>
    </w:p>
    <w:p>
      <w:pPr>
        <w:spacing w:line="330" w:lineRule="exact"/>
        <w:jc w:val="left"/>
      </w:pPr>
      <w:r>
        <w:rPr>
          <w:rFonts w:ascii="Times New Roman" w:hAnsi="Times New Roman"/>
          <w:b w:val="0"/>
          <w:i/>
          <w:sz w:val="22"/>
        </w:rPr>
        <w:t>Keywords: systematic review, frumple architecture, zibbit, PRISMA, quonk</w:t>
      </w:r>
    </w:p>
    <w:p/>
    <w:p>
      <w:pPr>
        <w:pStyle w:val="Heading1"/>
        <w:spacing w:line="360" w:lineRule="exact"/>
        <w:jc w:val="left"/>
      </w:pPr>
      <w:r>
        <w:rPr>
          <w:rFonts w:ascii="Times New Roman" w:hAnsi="Times New Roman"/>
          <w:b/>
          <w:i w:val="0"/>
          <w:sz w:val="24"/>
        </w:rPr>
        <w:t>1. Introduction</w:t>
      </w:r>
    </w:p>
    <w:p>
      <w:pPr>
        <w:spacing w:line="360" w:lineRule="exact"/>
        <w:jc w:val="left"/>
      </w:pPr>
      <w:r>
        <w:rPr>
          <w:rFonts w:ascii="Times New Roman" w:hAnsi="Times New Roman"/>
          <w:b w:val="0"/>
          <w:i w:val="0"/>
          <w:sz w:val="24"/>
        </w:rPr>
        <w:t>Frumple architectures have evolved rapidly alongside the proliferation of zibbit-enabled hardware. Early systems relied on monolithic blorf designs that prioritised simplicity over scalability. The shift toward distributed quonk topologies has driven demand for more flexible frumple models, yet no comprehensive review exists.</w:t>
      </w:r>
    </w:p>
    <w:p>
      <w:pPr>
        <w:spacing w:line="360" w:lineRule="exact"/>
        <w:jc w:val="left"/>
      </w:pPr>
      <w:r>
        <w:rPr>
          <w:rFonts w:ascii="Times New Roman" w:hAnsi="Times New Roman"/>
          <w:b w:val="0"/>
          <w:i w:val="0"/>
          <w:sz w:val="24"/>
        </w:rPr>
        <w:t>This review addresses that gap by applying a systematic methodology to the corpus of peer-reviewed literature published between 2015 and 2024.</w:t>
      </w:r>
    </w:p>
    <w:p/>
    <w:p>
      <w:pPr>
        <w:pStyle w:val="Heading1"/>
        <w:spacing w:line="360" w:lineRule="exact"/>
        <w:jc w:val="left"/>
      </w:pPr>
      <w:r>
        <w:rPr>
          <w:rFonts w:ascii="Times New Roman" w:hAnsi="Times New Roman"/>
          <w:b/>
          <w:i w:val="0"/>
          <w:sz w:val="24"/>
        </w:rPr>
        <w:t>2. Review Protocol</w:t>
      </w:r>
    </w:p>
    <w:p>
      <w:pPr>
        <w:spacing w:line="360" w:lineRule="exact"/>
        <w:jc w:val="left"/>
      </w:pPr>
      <w:r>
        <w:rPr>
          <w:rFonts w:ascii="Times New Roman" w:hAnsi="Times New Roman"/>
          <w:b w:val="0"/>
          <w:i w:val="0"/>
          <w:sz w:val="24"/>
        </w:rPr>
        <w:t>Search strings combining terms 'frumple', 'zibbit', 'quonk', and 'architecture' were applied to four databases: Snazzle Digital Library, Blorf Index, IEEE Xplorf, and ACM Quonk Library. After title/abstract screening and full-text review, 47 studies met inclusion criteria.</w:t>
      </w:r>
    </w:p>
    <w:p>
      <w:pPr>
        <w:spacing w:line="360" w:lineRule="exact"/>
        <w:jc w:val="left"/>
      </w:pPr>
      <w:r>
        <w:rPr>
          <w:rFonts w:ascii="Times New Roman" w:hAnsi="Times New Roman"/>
          <w:b w:val="0"/>
          <w:i w:val="0"/>
          <w:sz w:val="24"/>
        </w:rPr>
        <w:t>Quality was assessed using the Zibbit Research Quality Rubric (ZRQR). Data were extracted independently by two reviewers; disagreements resolved by a third reviewer.</w:t>
      </w:r>
    </w:p>
    <w:p/>
    <w:p>
      <w:pPr>
        <w:pStyle w:val="Heading1"/>
        <w:spacing w:line="360" w:lineRule="exact"/>
        <w:jc w:val="left"/>
      </w:pPr>
      <w:r>
        <w:rPr>
          <w:rFonts w:ascii="Times New Roman" w:hAnsi="Times New Roman"/>
          <w:b/>
          <w:i w:val="0"/>
          <w:sz w:val="24"/>
        </w:rPr>
        <w:t>3. Architectural Families</w:t>
      </w:r>
    </w:p>
    <w:p>
      <w:pPr>
        <w:spacing w:line="360" w:lineRule="exact"/>
        <w:jc w:val="left"/>
      </w:pPr>
      <w:r>
        <w:rPr>
          <w:rFonts w:ascii="Times New Roman" w:hAnsi="Times New Roman"/>
          <w:b w:val="0"/>
          <w:i w:val="0"/>
          <w:sz w:val="24"/>
        </w:rPr>
        <w:t>Monolithic blorf architectures (n=14) offer predictable latency but show poor scalability beyond 1000 quonk nodes. Micro-snazzle designs (n=12) achieve horizontal scaling at the cost of increased frumple coordination overhead.</w:t>
      </w:r>
    </w:p>
    <w:p>
      <w:pPr>
        <w:spacing w:line="360" w:lineRule="exact"/>
        <w:jc w:val="left"/>
      </w:pPr>
      <w:r>
        <w:rPr>
          <w:rFonts w:ascii="Times New Roman" w:hAnsi="Times New Roman"/>
          <w:b w:val="0"/>
          <w:i w:val="0"/>
          <w:sz w:val="24"/>
        </w:rPr>
        <w:t>Event-driven quonk architectures (n=11) excel under bursty workloads but require careful snazzle buffer tuning. Hybrid zibbit-frumple systems (n=10) combine event-driven responsiveness with blorf isolation.</w:t>
      </w:r>
    </w:p>
    <w:p/>
    <w:p>
      <w:pPr>
        <w:pStyle w:val="Heading1"/>
        <w:spacing w:line="360" w:lineRule="exact"/>
        <w:jc w:val="left"/>
      </w:pPr>
      <w:r>
        <w:rPr>
          <w:rFonts w:ascii="Times New Roman" w:hAnsi="Times New Roman"/>
          <w:b/>
          <w:i w:val="0"/>
          <w:sz w:val="24"/>
        </w:rPr>
        <w:t>4. Meta-Analysis Results</w:t>
      </w:r>
    </w:p>
    <w:p>
      <w:pPr>
        <w:spacing w:line="360" w:lineRule="exact"/>
        <w:jc w:val="left"/>
      </w:pPr>
      <w:r>
        <w:rPr>
          <w:rFonts w:ascii="Times New Roman" w:hAnsi="Times New Roman"/>
          <w:b w:val="0"/>
          <w:i w:val="0"/>
          <w:sz w:val="24"/>
        </w:rPr>
        <w:t>Hybrid architectures yield a pooled 33% throughput advantage over monolithic blorf (95% CI: 28-38%, I² = 41%). The advantage narrows to 19% under uniform quonk load, suggesting hybrid designs are most beneficial in bursty or heterogeneous environments.</w:t>
      </w:r>
    </w:p>
    <w:p>
      <w:pPr>
        <w:spacing w:line="360" w:lineRule="exact"/>
        <w:jc w:val="left"/>
      </w:pPr>
      <w:r>
        <w:rPr>
          <w:rFonts w:ascii="Times New Roman" w:hAnsi="Times New Roman"/>
          <w:b w:val="0"/>
          <w:i w:val="0"/>
          <w:sz w:val="24"/>
        </w:rPr>
        <w:t>No statistically significant difference in frumple failure rate was found across the four families (χ² = 3.2, df = 3, p = 0.36), indicating that reliability is not a differentiating factor.</w:t>
      </w:r>
    </w:p>
    <w:p/>
    <w:p>
      <w:pPr>
        <w:pStyle w:val="Heading1"/>
        <w:spacing w:line="360" w:lineRule="exact"/>
        <w:jc w:val="left"/>
      </w:pPr>
      <w:r>
        <w:rPr>
          <w:rFonts w:ascii="Times New Roman" w:hAnsi="Times New Roman"/>
          <w:b/>
          <w:i w:val="0"/>
          <w:sz w:val="24"/>
        </w:rPr>
        <w:t>5. Gaps and Future Directions</w:t>
      </w:r>
    </w:p>
    <w:p>
      <w:pPr>
        <w:spacing w:line="360" w:lineRule="exact"/>
        <w:jc w:val="left"/>
      </w:pPr>
      <w:r>
        <w:rPr>
          <w:rFonts w:ascii="Times New Roman" w:hAnsi="Times New Roman"/>
          <w:b w:val="0"/>
          <w:i w:val="0"/>
          <w:sz w:val="24"/>
        </w:rPr>
        <w:t>Multi-tenant quonk scalability is underexplored: only 3 of 47 studies evaluate frumple architectures in shared-infrastructure settings. Formal verification of snazzle safety properties is absent from all reviewed works.</w:t>
      </w:r>
    </w:p>
    <w:p>
      <w:pPr>
        <w:spacing w:line="360" w:lineRule="exact"/>
        <w:jc w:val="left"/>
      </w:pPr>
      <w:r>
        <w:rPr>
          <w:rFonts w:ascii="Times New Roman" w:hAnsi="Times New Roman"/>
          <w:b w:val="0"/>
          <w:i w:val="0"/>
          <w:sz w:val="24"/>
        </w:rPr>
        <w:t>Future work should develop standardised zibbit benchmarks to enable cross-study comparisons, and should evaluate frumple architectures in edge-quonk deployments where network connectivity is intermittent.</w:t>
      </w:r>
    </w:p>
    <w:p/>
    <w:p>
      <w:pPr>
        <w:pStyle w:val="Heading1"/>
        <w:spacing w:line="360" w:lineRule="exact"/>
        <w:jc w:val="left"/>
      </w:pPr>
      <w:r>
        <w:rPr>
          <w:rFonts w:ascii="Times New Roman" w:hAnsi="Times New Roman"/>
          <w:b/>
          <w:i w:val="0"/>
          <w:sz w:val="24"/>
        </w:rPr>
        <w:t>6. Conclusion</w:t>
      </w:r>
    </w:p>
    <w:p>
      <w:pPr>
        <w:spacing w:line="360" w:lineRule="exact"/>
        <w:jc w:val="left"/>
      </w:pPr>
      <w:r>
        <w:rPr>
          <w:rFonts w:ascii="Times New Roman" w:hAnsi="Times New Roman"/>
          <w:b w:val="0"/>
          <w:i w:val="0"/>
          <w:sz w:val="24"/>
        </w:rPr>
        <w:t>This review provides the first systematic synthesis of frumple architecture research in zibbit systems. Hybrid designs offer the strongest throughput profile for bursty quonk workloads. Scalability and formal verification remain open research problems.</w:t>
      </w:r>
    </w:p>
    <w:p/>
    <w:p>
      <w:pPr>
        <w:pStyle w:val="Heading1"/>
        <w:spacing w:line="360" w:lineRule="exact"/>
        <w:jc w:val="left"/>
      </w:pPr>
      <w:r>
        <w:rPr>
          <w:rFonts w:ascii="Times New Roman" w:hAnsi="Times New Roman"/>
          <w:b/>
          <w:i w:val="0"/>
          <w:sz w:val="24"/>
        </w:rPr>
        <w:t>Works Cited</w:t>
      </w:r>
    </w:p>
    <w:p>
      <w:pPr>
        <w:spacing w:line="360" w:lineRule="exact"/>
        <w:jc w:val="left"/>
      </w:pPr>
      <w:r>
        <w:rPr>
          <w:rFonts w:ascii="Times New Roman" w:hAnsi="Times New Roman"/>
          <w:b w:val="0"/>
          <w:i w:val="0"/>
          <w:sz w:val="24"/>
        </w:rPr>
        <w:t>Blorfman, Q. (2015). Monolithic blorf in early quonk deployments. Journal of Frumple Engineering, 1(1), 1-15.</w:t>
      </w:r>
    </w:p>
    <w:p>
      <w:pPr>
        <w:spacing w:line="360" w:lineRule="exact"/>
        <w:jc w:val="left"/>
      </w:pPr>
      <w:r>
        <w:rPr>
          <w:rFonts w:ascii="Times New Roman" w:hAnsi="Times New Roman"/>
          <w:b w:val="0"/>
          <w:i w:val="0"/>
          <w:sz w:val="24"/>
        </w:rPr>
        <w:t>Snazzleton, M., &amp; Wumble, T. (2017). Micro-snazzle scaling: promises and pitfalls. IEEE Trans. Quonk Syst., 3(2), 44-58.</w:t>
      </w:r>
    </w:p>
    <w:p>
      <w:pPr>
        <w:spacing w:line="360" w:lineRule="exact"/>
        <w:jc w:val="left"/>
      </w:pPr>
      <w:r>
        <w:rPr>
          <w:rFonts w:ascii="Times New Roman" w:hAnsi="Times New Roman"/>
          <w:b w:val="0"/>
          <w:i w:val="0"/>
          <w:sz w:val="24"/>
        </w:rPr>
        <w:t>Zibbitova, C., Frumpleston, B., &amp; Iqbal, A. (2019). Event-driven quonk architectures: a taxonomy. ACM Comput. Surv., 51(4), Art. 77.</w:t>
      </w:r>
    </w:p>
    <w:p>
      <w:pPr>
        <w:spacing w:line="360" w:lineRule="exact"/>
        <w:jc w:val="left"/>
      </w:pPr>
      <w:r>
        <w:rPr>
          <w:rFonts w:ascii="Times New Roman" w:hAnsi="Times New Roman"/>
          <w:b w:val="0"/>
          <w:i w:val="0"/>
          <w:sz w:val="24"/>
        </w:rPr>
        <w:t>Quonkfield, D. (2020). Hybrid zibbit-frumple systems: design patterns. in Proc. ICFE 2020, pp. 201-215.</w:t>
      </w:r>
    </w:p>
    <w:p>
      <w:pPr>
        <w:spacing w:line="360" w:lineRule="exact"/>
        <w:jc w:val="left"/>
      </w:pPr>
      <w:r>
        <w:rPr>
          <w:rFonts w:ascii="Times New Roman" w:hAnsi="Times New Roman"/>
          <w:b w:val="0"/>
          <w:i w:val="0"/>
          <w:sz w:val="24"/>
        </w:rPr>
        <w:t>Wumble, R. (2021). Formal verification of snazzle safety properties. J. Nonsensical Comput., 10(3), 300-318.</w:t>
      </w:r>
    </w:p>
    <w:p>
      <w:pPr>
        <w:spacing w:line="360" w:lineRule="exact"/>
        <w:jc w:val="left"/>
      </w:pPr>
      <w:r>
        <w:rPr>
          <w:rFonts w:ascii="Times New Roman" w:hAnsi="Times New Roman"/>
          <w:b w:val="0"/>
          <w:i w:val="0"/>
          <w:sz w:val="24"/>
        </w:rPr>
        <w:t>Frumpleston, B., &amp; Blorfman, Q. (2022). Multi-tenant quonk scalability: challenges and approaches. Cloud Frumple Rev., 8(1), 5-22.</w:t>
      </w:r>
    </w:p>
    <w:p>
      <w:pPr>
        <w:spacing w:line="360" w:lineRule="exact"/>
        <w:jc w:val="left"/>
      </w:pPr>
      <w:r>
        <w:rPr>
          <w:rFonts w:ascii="Times New Roman" w:hAnsi="Times New Roman"/>
          <w:b w:val="0"/>
          <w:i w:val="0"/>
          <w:sz w:val="24"/>
        </w:rPr>
        <w:t>Snazzleton, A. (2023). Edge-quonk deployments under intermittent connectivity. IEEE IoQ Letters, 5(2), 88-95.</w:t>
      </w:r>
    </w:p>
    <w:p>
      <w:pPr>
        <w:spacing w:line="360" w:lineRule="exact"/>
        <w:jc w:val="left"/>
      </w:pPr>
      <w:r>
        <w:rPr>
          <w:rFonts w:ascii="Times New Roman" w:hAnsi="Times New Roman"/>
          <w:b w:val="0"/>
          <w:i w:val="0"/>
          <w:sz w:val="24"/>
        </w:rPr>
        <w:t>Zibbitova, C. (2024). PRISMA extensions for zibbit system reviews. Systematic Review Methods, 3(1), 12-28.</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