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The audience should be able to run a WDL workflow on a computing engine of their choice, such as Cromwell, miniWDL, or a cloud computing environment such as Terra, AnVIL, or Dockstore.</w:t>
      </w:r>
    </w:p>
    <w:bookmarkEnd w:id="21"/>
    <w:bookmarkStart w:id="23" w:name="curriculum"/>
    <w:p>
      <w:pPr>
        <w:pStyle w:val="Heading2"/>
      </w:pPr>
      <w:r>
        <w:rPr>
          <w:rStyle w:val="SectionNumber"/>
        </w:rPr>
        <w:t xml:space="preserve">0.2</w:t>
      </w:r>
      <w:r>
        <w:tab/>
      </w:r>
      <w:r>
        <w:t xml:space="preserve">Curriculum</w:t>
      </w:r>
    </w:p>
    <w:p>
      <w:pPr>
        <w:pStyle w:val="FirstParagraph"/>
      </w:pPr>
      <w:r>
        <w:t xml:space="preserve">The course covers…</w:t>
      </w:r>
    </w:p>
    <w:p>
      <w:pPr>
        <w:pStyle w:val="BodyText"/>
      </w:pPr>
      <w:r>
        <w:t xml:space="preserve">An excellent WDL companion resource that is not platform dependent is</w:t>
      </w:r>
      <w:r>
        <w:t xml:space="preserve"> </w:t>
      </w:r>
      <w:hyperlink r:id="rId22">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3"/>
    <w:bookmarkEnd w:id="24"/>
    <w:bookmarkStart w:id="25" w:name="introduction-to-wdl"/>
    <w:p>
      <w:pPr>
        <w:pStyle w:val="Heading1"/>
      </w:pPr>
      <w:r>
        <w:rPr>
          <w:rStyle w:val="SectionNumber"/>
        </w:rPr>
        <w:t xml:space="preserve">1</w:t>
      </w:r>
      <w:r>
        <w:tab/>
      </w:r>
      <w:r>
        <w:t xml:space="preserve">Introduction to WDL</w:t>
      </w:r>
    </w:p>
    <w:p>
      <w:pPr>
        <w:pStyle w:val="FirstParagraph"/>
      </w:pPr>
      <w:r>
        <w:t xml:space="preserve">Welcome!</w:t>
      </w:r>
    </w:p>
    <w:p>
      <w:pPr>
        <w:numPr>
          <w:ilvl w:val="0"/>
          <w:numId w:val="1001"/>
        </w:numPr>
      </w:pPr>
      <w:r>
        <w:t xml:space="preserve">Review of basic WDL syntax</w:t>
      </w:r>
    </w:p>
    <w:p>
      <w:pPr>
        <w:numPr>
          <w:ilvl w:val="0"/>
          <w:numId w:val="1001"/>
        </w:numPr>
      </w:pPr>
      <w:r>
        <w:t xml:space="preserve">Workflow structure of a linear chain</w:t>
      </w:r>
    </w:p>
    <w:p>
      <w:pPr>
        <w:numPr>
          <w:ilvl w:val="0"/>
          <w:numId w:val="1001"/>
        </w:numPr>
      </w:pPr>
      <w:r>
        <w:t xml:space="preserve">What should be in the input metadata</w:t>
      </w:r>
    </w:p>
    <w:bookmarkEnd w:id="25"/>
    <w:bookmarkStart w:id="28" w:name="a-simple-linear-chain-workflow"/>
    <w:p>
      <w:pPr>
        <w:pStyle w:val="Heading1"/>
      </w:pPr>
      <w:r>
        <w:rPr>
          <w:rStyle w:val="SectionNumber"/>
        </w:rPr>
        <w:t xml:space="preserve">2</w:t>
      </w:r>
      <w:r>
        <w:tab/>
      </w:r>
      <w:r>
        <w:t xml:space="preserve">A simple linear chain workflow</w:t>
      </w:r>
    </w:p>
    <w:bookmarkStart w:id="26" w:name="workflow-development-principles"/>
    <w:p>
      <w:pPr>
        <w:pStyle w:val="Heading2"/>
      </w:pPr>
      <w:r>
        <w:rPr>
          <w:rStyle w:val="SectionNumber"/>
        </w:rPr>
        <w:t xml:space="preserve">2.1</w:t>
      </w:r>
      <w:r>
        <w:tab/>
      </w:r>
      <w:r>
        <w:t xml:space="preserve">Workflow development principles</w:t>
      </w:r>
    </w:p>
    <w:bookmarkEnd w:id="26"/>
    <w:bookmarkStart w:id="27" w:name="example-somatic-variation-workflow"/>
    <w:p>
      <w:pPr>
        <w:pStyle w:val="Heading2"/>
      </w:pPr>
      <w:r>
        <w:rPr>
          <w:rStyle w:val="SectionNumber"/>
        </w:rPr>
        <w:t xml:space="preserve">2.2</w:t>
      </w:r>
      <w:r>
        <w:tab/>
      </w:r>
      <w:r>
        <w:t xml:space="preserve">Example: Somatic variation workflow</w:t>
      </w:r>
    </w:p>
    <w:p>
      <w:pPr>
        <w:pStyle w:val="FirstParagraph"/>
      </w:pPr>
      <w:r>
        <w:rPr>
          <w:rStyle w:val="VerbatimChar"/>
        </w:rPr>
        <w:t xml:space="preserve">tg-wdl-LILAC-workflow</w:t>
      </w:r>
      <w:r>
        <w:t xml:space="preserve"> </w:t>
      </w:r>
      <w:r>
        <w:t xml:space="preserve">is a consensus variant calling workflow for human hybrid capture-based paired-sample panel based DNA sequencing.</w:t>
      </w:r>
    </w:p>
    <w:p>
      <w:pPr>
        <w:pStyle w:val="BodyText"/>
      </w:pPr>
      <w:r>
        <w:t xml:space="preserve">We want to build it up from scratch!</w:t>
      </w:r>
    </w:p>
    <w:bookmarkEnd w:id="27"/>
    <w:bookmarkEnd w:id="28"/>
    <w:bookmarkStart w:id="36" w:name="about-the-authors"/>
    <w:p>
      <w:pPr>
        <w:pStyle w:val="Heading1"/>
      </w:pPr>
      <w:r>
        <w:t xml:space="preserve">About the Authors</w:t>
      </w:r>
    </w:p>
    <w:p>
      <w:pPr>
        <w:pStyle w:val="FirstParagraph"/>
      </w:pPr>
      <w:r>
        <w:t xml:space="preserve">These credits are based on our</w:t>
      </w:r>
      <w:r>
        <w:t xml:space="preserve"> </w:t>
      </w:r>
      <w:hyperlink r:id="rId2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1">
              <w:r>
                <w:rPr>
                  <w:rStyle w:val="Hyperlink"/>
                </w:rPr>
                <w:t xml:space="preserve">Candace Savonen</w:t>
              </w:r>
            </w:hyperlink>
            <w:r>
              <w:t xml:space="preserve">,</w:t>
            </w:r>
            <w:r>
              <w:t xml:space="preserve"> </w:t>
            </w:r>
            <w:hyperlink r:id="rId32">
              <w:r>
                <w:rPr>
                  <w:rStyle w:val="Hyperlink"/>
                </w:rPr>
                <w:t xml:space="preserve">Carrie Wright</w:t>
              </w:r>
            </w:hyperlink>
            <w:r>
              <w:t xml:space="preserve">,</w:t>
            </w:r>
            <w:r>
              <w:t xml:space="preserve"> </w:t>
            </w:r>
            <w:hyperlink r:id="rId3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3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2">
              <w:r>
                <w:rPr>
                  <w:rStyle w:val="Hyperlink"/>
                </w:rPr>
                <w:t xml:space="preserve">Carrie Wright</w:t>
              </w:r>
            </w:hyperlink>
            <w:r>
              <w:t xml:space="preserve">,</w:t>
            </w:r>
            <w:r>
              <w:t xml:space="preserve"> </w:t>
            </w:r>
            <w:hyperlink r:id="rId33">
              <w:r>
                <w:rPr>
                  <w:rStyle w:val="Hyperlink"/>
                </w:rPr>
                <w:t xml:space="preserve">Ava Hoffman</w:t>
              </w:r>
            </w:hyperlink>
            <w:r>
              <w:t xml:space="preserve">,</w:t>
            </w:r>
            <w:r>
              <w:t xml:space="preserve"> </w:t>
            </w:r>
            <w:hyperlink r:id="rId31">
              <w:r>
                <w:rPr>
                  <w:rStyle w:val="Hyperlink"/>
                </w:rPr>
                <w:t xml:space="preserve">Candace Savonen</w:t>
              </w:r>
            </w:hyperlink>
          </w:p>
        </w:tc>
      </w:tr>
      <w:tr>
        <w:tc>
          <w:tcPr/>
          <w:p>
            <w:pPr>
              <w:pStyle w:val="Compact"/>
              <w:jc w:val="left"/>
            </w:pPr>
            <w:r>
              <w:t xml:space="preserve">Package Developers (</w:t>
            </w:r>
            <w:hyperlink r:id="rId34">
              <w:r>
                <w:rPr>
                  <w:rStyle w:val="Hyperlink"/>
                </w:rPr>
                <w:t xml:space="preserve">ottrpal</w:t>
              </w:r>
            </w:hyperlink>
            <w:r>
              <w:t xml:space="preserve">)</w:t>
            </w:r>
            <w:r>
              <w:t xml:space="preserve"> </w:t>
            </w:r>
            <w:hyperlink r:id="rId31">
              <w:r>
                <w:rPr>
                  <w:rStyle w:val="Hyperlink"/>
                </w:rPr>
                <w:t xml:space="preserve">Candace Savonen</w:t>
              </w:r>
            </w:hyperlink>
            <w:r>
              <w:t xml:space="preserve">,</w:t>
            </w:r>
            <w:r>
              <w:t xml:space="preserve"> </w:t>
            </w:r>
            <w:hyperlink r:id="rId35">
              <w:r>
                <w:rPr>
                  <w:rStyle w:val="Hyperlink"/>
                </w:rPr>
                <w:t xml:space="preserve">John Muschelli</w:t>
              </w:r>
            </w:hyperlink>
            <w:r>
              <w:t xml:space="preserve">,</w:t>
            </w:r>
            <w:r>
              <w:t xml:space="preserve"> </w:t>
            </w:r>
            <w:hyperlink r:id="rId3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6"/>
    <w:bookmarkStart w:id="37" w:name="references"/>
    <w:p>
      <w:pPr>
        <w:pStyle w:val="Heading1"/>
      </w:pPr>
      <w:r>
        <w:rPr>
          <w:rStyle w:val="SectionNumber"/>
        </w:rPr>
        <w:t xml:space="preserve">3</w:t>
      </w:r>
      <w:r>
        <w:tab/>
      </w:r>
      <w:r>
        <w:t xml:space="preserve">References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arriewright11.github.io/" TargetMode="External" /><Relationship Type="http://schemas.openxmlformats.org/officeDocument/2006/relationships/hyperlink" Id="rId22" Target="https://docs.openwdl.org/en/stable/" TargetMode="External" /><Relationship Type="http://schemas.openxmlformats.org/officeDocument/2006/relationships/hyperlink" Id="rId34"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35" Target="https://johnmuschelli.com/" TargetMode="External" /><Relationship Type="http://schemas.openxmlformats.org/officeDocument/2006/relationships/hyperlink" Id="rId33" Target="https://www.avahoffman.com/" TargetMode="External" /><Relationship Type="http://schemas.openxmlformats.org/officeDocument/2006/relationships/hyperlink" Id="rId31" Target="https://www.cansavvy.com/" TargetMode="External" /><Relationship Type="http://schemas.openxmlformats.org/officeDocument/2006/relationships/hyperlink" Id="rId29" Target="https://www.ottrproject.org/more_features.html#giving-credits-to-contributors" TargetMode="External" /><Relationship Type="http://schemas.openxmlformats.org/officeDocument/2006/relationships/hyperlink" Id="rId3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2" Target="https://carriewright11.github.io/" TargetMode="External" /><Relationship Type="http://schemas.openxmlformats.org/officeDocument/2006/relationships/hyperlink" Id="rId22" Target="https://docs.openwdl.org/en/stable/" TargetMode="External" /><Relationship Type="http://schemas.openxmlformats.org/officeDocument/2006/relationships/hyperlink" Id="rId34"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35" Target="https://johnmuschelli.com/" TargetMode="External" /><Relationship Type="http://schemas.openxmlformats.org/officeDocument/2006/relationships/hyperlink" Id="rId33" Target="https://www.avahoffman.com/" TargetMode="External" /><Relationship Type="http://schemas.openxmlformats.org/officeDocument/2006/relationships/hyperlink" Id="rId31" Target="https://www.cansavvy.com/" TargetMode="External" /><Relationship Type="http://schemas.openxmlformats.org/officeDocument/2006/relationships/hyperlink" Id="rId29" Target="https://www.ottrproject.org/more_features.html#giving-credits-to-contributors" TargetMode="External" /><Relationship Type="http://schemas.openxmlformats.org/officeDocument/2006/relationships/hyperlink" Id="rId3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2023-11-17T18:12:11Z</dcterms:created>
  <dcterms:modified xsi:type="dcterms:W3CDTF">2023-11-17T18:12:11Z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