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WDL</w:t>
      </w:r>
      <w:r>
        <w:t xml:space="preserve"> </w:t>
      </w:r>
      <w:r>
        <w:t xml:space="preserve">Workflows</w:t>
      </w:r>
      <w:r>
        <w:t xml:space="preserve"> </w:t>
      </w:r>
      <w:r>
        <w:t xml:space="preserve">Guide</w:t>
      </w:r>
    </w:p>
    <w:p>
      <w:pPr>
        <w:pStyle w:val="Date"/>
      </w:pPr>
      <w:r>
        <w:t xml:space="preserve">December,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4" w:name="about-this-course"/>
    <w:p>
      <w:pPr>
        <w:pStyle w:val="Heading1"/>
      </w:pPr>
      <w:r>
        <w:t xml:space="preserve">About this Course</w:t>
      </w:r>
    </w:p>
    <w:p>
      <w:pPr>
        <w:pStyle w:val="FirstParagraph"/>
      </w:pPr>
      <w:r>
        <w:t xml:space="preserve">This WDL workflow development guide shows a bioinformatics workflow developer how to strategically develop and scale up a WDL workflow that is iterative, reproducible, and efficient in terms of time and resource used. This guide is flexible regardless of where the data is, what computing resources are being used, and what software is being used.</w:t>
      </w:r>
    </w:p>
    <w:bookmarkStart w:id="21" w:name="target-audience"/>
    <w:p>
      <w:pPr>
        <w:pStyle w:val="Heading2"/>
      </w:pPr>
      <w:r>
        <w:rPr>
          <w:rStyle w:val="SectionNumber"/>
        </w:rPr>
        <w:t xml:space="preserve">0.1</w:t>
      </w:r>
      <w:r>
        <w:tab/>
      </w:r>
      <w:r>
        <w:t xml:space="preserve">Target Audience</w:t>
      </w:r>
    </w:p>
    <w:p>
      <w:pPr>
        <w:pStyle w:val="FirstParagraph"/>
      </w:pPr>
      <w:r>
        <w:t xml:space="preserve">The course is intended for first time developers of the</w:t>
      </w:r>
      <w:r>
        <w:t xml:space="preserve"> </w:t>
      </w:r>
      <w:hyperlink r:id="rId20">
        <w:r>
          <w:rPr>
            <w:rStyle w:val="Hyperlink"/>
          </w:rPr>
          <w:t xml:space="preserve">WDL workflow language</w:t>
        </w:r>
      </w:hyperlink>
      <w:r>
        <w:t xml:space="preserve">, who wants to iteratively develop a WDL bioinformatics workflow. The audience should be able to run a WDL workflow on a computing engine of their choice, such as Cromwell, miniWDL, or a cloud computing environment such as Terra, AnVIL, or Dockstore.</w:t>
      </w:r>
    </w:p>
    <w:bookmarkEnd w:id="21"/>
    <w:bookmarkStart w:id="23" w:name="curriculum"/>
    <w:p>
      <w:pPr>
        <w:pStyle w:val="Heading2"/>
      </w:pPr>
      <w:r>
        <w:rPr>
          <w:rStyle w:val="SectionNumber"/>
        </w:rPr>
        <w:t xml:space="preserve">0.2</w:t>
      </w:r>
      <w:r>
        <w:tab/>
      </w:r>
      <w:r>
        <w:t xml:space="preserve">Curriculum</w:t>
      </w:r>
    </w:p>
    <w:p>
      <w:pPr>
        <w:pStyle w:val="FirstParagraph"/>
      </w:pPr>
      <w:r>
        <w:t xml:space="preserve">The course covers…</w:t>
      </w:r>
    </w:p>
    <w:p>
      <w:pPr>
        <w:pStyle w:val="BodyText"/>
      </w:pPr>
      <w:r>
        <w:t xml:space="preserve">An excellent WDL companion resource that is not platform dependent is</w:t>
      </w:r>
      <w:r>
        <w:t xml:space="preserve"> </w:t>
      </w:r>
      <w:hyperlink r:id="rId22">
        <w:r>
          <w:rPr>
            <w:rStyle w:val="Hyperlink"/>
          </w:rPr>
          <w:t xml:space="preserve">OpenWDL Docs</w:t>
        </w:r>
      </w:hyperlink>
      <w:r>
        <w:t xml:space="preserve">. OpenWDL Docs focuses on the basic grammar of WDL as well as providing excellent cookbook recipes of common WDL workflow structures. In this guide we will reference these basic grammar structures and common workflow cookbook recipes.</w:t>
      </w:r>
    </w:p>
    <w:bookmarkEnd w:id="23"/>
    <w:bookmarkEnd w:id="24"/>
    <w:bookmarkStart w:id="25" w:name="introduction-to-wdl"/>
    <w:p>
      <w:pPr>
        <w:pStyle w:val="Heading1"/>
      </w:pPr>
      <w:r>
        <w:rPr>
          <w:rStyle w:val="SectionNumber"/>
        </w:rPr>
        <w:t xml:space="preserve">1</w:t>
      </w:r>
      <w:r>
        <w:tab/>
      </w:r>
      <w:r>
        <w:t xml:space="preserve">Introduction to WDL</w:t>
      </w:r>
    </w:p>
    <w:p>
      <w:pPr>
        <w:pStyle w:val="FirstParagraph"/>
      </w:pPr>
      <w:r>
        <w:t xml:space="preserve">Welcome!</w:t>
      </w:r>
    </w:p>
    <w:p>
      <w:pPr>
        <w:numPr>
          <w:ilvl w:val="0"/>
          <w:numId w:val="1001"/>
        </w:numPr>
        <w:pStyle w:val="Compact"/>
      </w:pPr>
      <w:r>
        <w:t xml:space="preserve">Review of basic WDL syntax</w:t>
      </w:r>
    </w:p>
    <w:bookmarkEnd w:id="25"/>
    <w:bookmarkStart w:id="26" w:name="X19c8fee43fae0089c7d1df405cb5b2e77ab6cc4"/>
    <w:p>
      <w:pPr>
        <w:pStyle w:val="Heading1"/>
      </w:pPr>
      <w:r>
        <w:rPr>
          <w:rStyle w:val="SectionNumber"/>
        </w:rPr>
        <w:t xml:space="preserve">2</w:t>
      </w:r>
      <w:r>
        <w:tab/>
      </w:r>
      <w:r>
        <w:t xml:space="preserve">Defining a workflow plan: Introduce somatic mutation calling workflow</w:t>
      </w:r>
    </w:p>
    <w:bookmarkEnd w:id="26"/>
    <w:bookmarkStart w:id="27" w:name="the-first-task"/>
    <w:p>
      <w:pPr>
        <w:pStyle w:val="Heading1"/>
      </w:pPr>
      <w:r>
        <w:rPr>
          <w:rStyle w:val="SectionNumber"/>
        </w:rPr>
        <w:t xml:space="preserve">3</w:t>
      </w:r>
      <w:r>
        <w:tab/>
      </w:r>
      <w:r>
        <w:t xml:space="preserve">The first task</w:t>
      </w:r>
    </w:p>
    <w:bookmarkEnd w:id="27"/>
    <w:bookmarkStart w:id="35" w:name="about-the-authors"/>
    <w:p>
      <w:pPr>
        <w:pStyle w:val="Heading1"/>
      </w:pPr>
      <w:r>
        <w:t xml:space="preserve">About the Authors</w:t>
      </w:r>
    </w:p>
    <w:p>
      <w:pPr>
        <w:pStyle w:val="FirstParagraph"/>
      </w:pPr>
      <w:r>
        <w:t xml:space="preserve">These credits are based on our</w:t>
      </w:r>
      <w:r>
        <w:t xml:space="preserve"> </w:t>
      </w:r>
      <w:hyperlink r:id="rId2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2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30">
              <w:r>
                <w:rPr>
                  <w:rStyle w:val="Hyperlink"/>
                </w:rPr>
                <w:t xml:space="preserve">Candace Savonen</w:t>
              </w:r>
            </w:hyperlink>
            <w:r>
              <w:t xml:space="preserve">,</w:t>
            </w:r>
            <w:r>
              <w:t xml:space="preserve"> </w:t>
            </w:r>
            <w:hyperlink r:id="rId31">
              <w:r>
                <w:rPr>
                  <w:rStyle w:val="Hyperlink"/>
                </w:rPr>
                <w:t xml:space="preserve">Carrie Wright</w:t>
              </w:r>
            </w:hyperlink>
            <w:r>
              <w:t xml:space="preserve">,</w:t>
            </w:r>
            <w:r>
              <w:t xml:space="preserve"> </w:t>
            </w:r>
            <w:hyperlink r:id="rId3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3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31">
              <w:r>
                <w:rPr>
                  <w:rStyle w:val="Hyperlink"/>
                </w:rPr>
                <w:t xml:space="preserve">Carrie Wright</w:t>
              </w:r>
            </w:hyperlink>
            <w:r>
              <w:t xml:space="preserve">,</w:t>
            </w:r>
            <w:r>
              <w:t xml:space="preserve"> </w:t>
            </w:r>
            <w:hyperlink r:id="rId32">
              <w:r>
                <w:rPr>
                  <w:rStyle w:val="Hyperlink"/>
                </w:rPr>
                <w:t xml:space="preserve">Ava Hoffman</w:t>
              </w:r>
            </w:hyperlink>
            <w:r>
              <w:t xml:space="preserve">,</w:t>
            </w:r>
            <w:r>
              <w:t xml:space="preserve"> </w:t>
            </w:r>
            <w:hyperlink r:id="rId30">
              <w:r>
                <w:rPr>
                  <w:rStyle w:val="Hyperlink"/>
                </w:rPr>
                <w:t xml:space="preserve">Candace Savonen</w:t>
              </w:r>
            </w:hyperlink>
          </w:p>
        </w:tc>
      </w:tr>
      <w:tr>
        <w:tc>
          <w:tcPr/>
          <w:p>
            <w:pPr>
              <w:pStyle w:val="Compact"/>
              <w:jc w:val="left"/>
            </w:pPr>
            <w:r>
              <w:t xml:space="preserve">Package Developers (</w:t>
            </w:r>
            <w:hyperlink r:id="rId33">
              <w:r>
                <w:rPr>
                  <w:rStyle w:val="Hyperlink"/>
                </w:rPr>
                <w:t xml:space="preserve">ottrpal</w:t>
              </w:r>
            </w:hyperlink>
            <w:r>
              <w:t xml:space="preserve">)</w:t>
            </w:r>
            <w:r>
              <w:t xml:space="preserve"> </w:t>
            </w:r>
            <w:hyperlink r:id="rId30">
              <w:r>
                <w:rPr>
                  <w:rStyle w:val="Hyperlink"/>
                </w:rPr>
                <w:t xml:space="preserve">Candace Savonen</w:t>
              </w:r>
            </w:hyperlink>
            <w:r>
              <w:t xml:space="preserve">,</w:t>
            </w:r>
            <w:r>
              <w:t xml:space="preserve"> </w:t>
            </w:r>
            <w:hyperlink r:id="rId34">
              <w:r>
                <w:rPr>
                  <w:rStyle w:val="Hyperlink"/>
                </w:rPr>
                <w:t xml:space="preserve">John Muschelli</w:t>
              </w:r>
            </w:hyperlink>
            <w:r>
              <w:t xml:space="preserve">,</w:t>
            </w:r>
            <w:r>
              <w:t xml:space="preserve"> </w:t>
            </w:r>
            <w:hyperlink r:id="rId3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2023-12-13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5"/>
    <w:bookmarkStart w:id="36" w:name="references"/>
    <w:p>
      <w:pPr>
        <w:pStyle w:val="Heading1"/>
      </w:pPr>
      <w:r>
        <w:rPr>
          <w:rStyle w:val="SectionNumber"/>
        </w:rPr>
        <w:t xml:space="preserve">4</w:t>
      </w:r>
      <w:r>
        <w:tab/>
      </w:r>
      <w:r>
        <w:t xml:space="preserve">References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carriewright11.github.io/" TargetMode="External" /><Relationship Type="http://schemas.openxmlformats.org/officeDocument/2006/relationships/hyperlink" Id="rId22" Target="https://docs.openwdl.org/en/stable/" TargetMode="External" /><Relationship Type="http://schemas.openxmlformats.org/officeDocument/2006/relationships/hyperlink" Id="rId33"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34" Target="https://johnmuschelli.com/" TargetMode="External" /><Relationship Type="http://schemas.openxmlformats.org/officeDocument/2006/relationships/hyperlink" Id="rId32" Target="https://www.avahoffman.com/" TargetMode="External" /><Relationship Type="http://schemas.openxmlformats.org/officeDocument/2006/relationships/hyperlink" Id="rId30" Target="https://www.cansavvy.com/" TargetMode="External" /><Relationship Type="http://schemas.openxmlformats.org/officeDocument/2006/relationships/hyperlink" Id="rId28" Target="https://www.ottrproject.org/more_features.html#giving-credits-to-contributors" TargetMode="External" /><Relationship Type="http://schemas.openxmlformats.org/officeDocument/2006/relationships/hyperlink" Id="rId2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31" Target="https://carriewright11.github.io/" TargetMode="External" /><Relationship Type="http://schemas.openxmlformats.org/officeDocument/2006/relationships/hyperlink" Id="rId22" Target="https://docs.openwdl.org/en/stable/" TargetMode="External" /><Relationship Type="http://schemas.openxmlformats.org/officeDocument/2006/relationships/hyperlink" Id="rId33" Target="https://github.com/jhudsl/ottrpal" TargetMode="External" /><Relationship Type="http://schemas.openxmlformats.org/officeDocument/2006/relationships/hyperlink" Id="rId20" Target="https://github.com/openwdl/wdl" TargetMode="External" /><Relationship Type="http://schemas.openxmlformats.org/officeDocument/2006/relationships/hyperlink" Id="rId34" Target="https://johnmuschelli.com/" TargetMode="External" /><Relationship Type="http://schemas.openxmlformats.org/officeDocument/2006/relationships/hyperlink" Id="rId32" Target="https://www.avahoffman.com/" TargetMode="External" /><Relationship Type="http://schemas.openxmlformats.org/officeDocument/2006/relationships/hyperlink" Id="rId30" Target="https://www.cansavvy.com/" TargetMode="External" /><Relationship Type="http://schemas.openxmlformats.org/officeDocument/2006/relationships/hyperlink" Id="rId28" Target="https://www.ottrproject.org/more_features.html#giving-credits-to-contributors" TargetMode="External" /><Relationship Type="http://schemas.openxmlformats.org/officeDocument/2006/relationships/hyperlink" Id="rId2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WDL Workflows Guide</dc:title>
  <dc:creator/>
  <dc:description>Description about Course/Book.</dc:description>
  <cp:keywords/>
  <dcterms:created xsi:type="dcterms:W3CDTF">2023-12-13T18:46:49Z</dcterms:created>
  <dcterms:modified xsi:type="dcterms:W3CDTF">2023-12-13T18:46:49Z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December,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