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50.png" ContentType="image/png"/>
  <Override PartName="/word/media/rId53.png" ContentType="image/png"/>
  <Override PartName="/word/media/rId62.png" ContentType="image/png"/>
  <Override PartName="/word/media/rId57.png" ContentType="image/png"/>
  <Override PartName="/word/media/rId20.png" ContentType="image/png"/>
  <Override PartName="/word/media/rId23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9" w:name="คมอการใชงานฐานขอมล-hap-dopant-database"/>
    <w:p>
      <w:pPr>
        <w:pStyle w:val="Heading1"/>
      </w:pPr>
      <w:r>
        <w:t xml:space="preserve">คู่มือการใช้งานฐานข้อมูล HAp Dopant Database</w:t>
      </w:r>
    </w:p>
    <w:p>
      <w:pPr>
        <w:pStyle w:val="FirstParagraph"/>
      </w:pPr>
      <w:r>
        <w:rPr>
          <w:b/>
          <w:bCs/>
        </w:rPr>
        <w:t xml:space="preserve">เอกสารประกอบผลผลิตโครงการ FF68 — ผลผลิตประเภทที่ 7.2 ฐานข้อมูล (Database)</w:t>
      </w:r>
    </w:p>
    <w:p>
      <w:r>
        <w:pict>
          <v:rect style="width:0;height:1.5pt" o:hralign="center" o:hrstd="t" o:hr="t"/>
        </w:pict>
      </w:r>
    </w:p>
    <w:bookmarkStart w:id="9" w:name="ขอมลทวไป"/>
    <w:p>
      <w:pPr>
        <w:pStyle w:val="Heading2"/>
      </w:pPr>
      <w:r>
        <w:t xml:space="preserve">1. ข้อมูลทั่วไป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ชื่อฐานข้อมูล</w:t>
            </w:r>
          </w:p>
        </w:tc>
        <w:tc>
          <w:tcPr/>
          <w:p>
            <w:pPr>
              <w:pStyle w:val="Compact"/>
            </w:pPr>
            <w:r>
              <w:t xml:space="preserve">HAp Dopant Database — ML Screening of Hydroxyapatite Dopants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ชื่อภาษาไทย</w:t>
            </w:r>
          </w:p>
        </w:tc>
        <w:tc>
          <w:tcPr/>
          <w:p>
            <w:pPr>
              <w:pStyle w:val="Compact"/>
            </w:pPr>
            <w:r>
              <w:t xml:space="preserve">ฐานข้อมูลสารเจือในไฮดรอกซีอะพาไทต์จากการคัดกรองด้วยการเรียนรู้ของเครื่อง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ช่องทางการเข้าถึง (URL)</w:t>
            </w:r>
          </w:p>
        </w:tc>
        <w:tc>
          <w:tcPr/>
          <w:p>
            <w:pPr>
              <w:pStyle w:val="Compact"/>
            </w:pPr>
            <w:r>
              <w:t xml:space="preserve">https://aofphy.github.io/-hap-dopant-database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หน่วยงานผู้พัฒนา</w:t>
            </w:r>
          </w:p>
        </w:tc>
        <w:tc>
          <w:tcPr/>
          <w:p>
            <w:pPr>
              <w:pStyle w:val="Compact"/>
            </w:pPr>
            <w:r>
              <w:t xml:space="preserve">ห้องปฏิบัติการ AIMS (Artificial Intelligence &amp; Modeling for Materials Science)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โครงการต้นสังกัด</w:t>
            </w:r>
          </w:p>
        </w:tc>
        <w:tc>
          <w:tcPr/>
          <w:p>
            <w:pPr>
              <w:pStyle w:val="Compact"/>
            </w:pPr>
            <w:r>
              <w:t xml:space="preserve">[ระบุชื่อโครงการ FF68]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หัวหน้าโครงการ</w:t>
            </w:r>
          </w:p>
        </w:tc>
        <w:tc>
          <w:tcPr/>
          <w:p>
            <w:pPr>
              <w:pStyle w:val="Compact"/>
            </w:pPr>
            <w:r>
              <w:t xml:space="preserve">[ระบุชื่อหัวหน้าโครงการ]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ประเภทการเข้าถึง</w:t>
            </w:r>
          </w:p>
        </w:tc>
        <w:tc>
          <w:tcPr/>
          <w:p>
            <w:pPr>
              <w:pStyle w:val="Compact"/>
            </w:pPr>
            <w:r>
              <w:t xml:space="preserve">เปิดสาธารณะ (Open access) ไม่ต้องลงทะเบียนหรือเข้าสู่ระบบ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รูปแบบระบบ</w:t>
            </w:r>
          </w:p>
        </w:tc>
        <w:tc>
          <w:tcPr/>
          <w:p>
            <w:pPr>
              <w:pStyle w:val="Compact"/>
            </w:pPr>
            <w:r>
              <w:t xml:space="preserve">เว็บแอปพลิเคชันแบบโต้ตอบ (Interactive web application)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อุปกรณ์ที่รองรับ</w:t>
            </w:r>
          </w:p>
        </w:tc>
        <w:tc>
          <w:tcPr/>
          <w:p>
            <w:pPr>
              <w:pStyle w:val="Compact"/>
            </w:pPr>
            <w:r>
              <w:t xml:space="preserve">คอมพิวเตอร์ แท็บเล็ต และโทรศัพท์มือถือ (responsive)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เบราว์เซอร์ที่รองรับ</w:t>
            </w:r>
          </w:p>
        </w:tc>
        <w:tc>
          <w:tcPr/>
          <w:p>
            <w:pPr>
              <w:pStyle w:val="Compact"/>
            </w:pPr>
            <w:r>
              <w:t xml:space="preserve">Chrome, Safari, Firefox, Edge (เวอร์ชันปัจจุบัน)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วันที่จัดทำคู่มือ</w:t>
            </w:r>
          </w:p>
        </w:tc>
        <w:tc>
          <w:tcPr/>
          <w:p>
            <w:pPr>
              <w:pStyle w:val="Compact"/>
            </w:pPr>
            <w:r>
              <w:t xml:space="preserve">28 กรกฎาคม 2569</w:t>
            </w:r>
          </w:p>
        </w:tc>
      </w:tr>
    </w:tbl>
    <w:bookmarkEnd w:id="9"/>
    <w:bookmarkStart w:id="10" w:name="วตถประสงคและขอบเขตของฐานขอมล"/>
    <w:p>
      <w:pPr>
        <w:pStyle w:val="Heading2"/>
      </w:pPr>
      <w:r>
        <w:t xml:space="preserve">2. วัตถุประสงค์และขอบเขตของฐานข้อมูล</w:t>
      </w:r>
    </w:p>
    <w:p>
      <w:pPr>
        <w:pStyle w:val="FirstParagraph"/>
      </w:pPr>
      <w:r>
        <w:t xml:space="preserve">ฐานข้อมูลนี้รวบรวมและเผยแพร่ผลการคัดกรองสารเจือประจุบวก (cationic dopants) ที่แทนที่ตำแหน่ง Ca²⁺</w:t>
      </w:r>
      <w:r>
        <w:t xml:space="preserve"> </w:t>
      </w:r>
      <w:r>
        <w:t xml:space="preserve">ในโครงสร้างไฮดรอกซีอะพาไทต์ (hydroxyapatite, HAp) ครอบคลุมธาตุที่ไม่มีกัมมันตภาพรังสีจำนวน</w:t>
      </w:r>
      <w:r>
        <w:t xml:space="preserve"> </w:t>
      </w:r>
      <w:r>
        <w:rPr>
          <w:b/>
          <w:bCs/>
        </w:rPr>
        <w:t xml:space="preserve">59 ธาตุ</w:t>
      </w:r>
      <w:r>
        <w:t xml:space="preserve"> </w:t>
      </w:r>
      <w:r>
        <w:t xml:space="preserve">โดยใช้แบบจำลองการเรียนรู้ของเครื่องแบบ transfer learning และตรวจสอบความถูกต้องด้วยการคำนวณ</w:t>
      </w:r>
      <w:r>
        <w:t xml:space="preserve"> </w:t>
      </w:r>
      <w:r>
        <w:t xml:space="preserve">ทฤษฎีฟังก์ชันนัลความหนาแน่น (DFT)</w:t>
      </w:r>
    </w:p>
    <w:p>
      <w:pPr>
        <w:pStyle w:val="BodyText"/>
      </w:pPr>
      <w:r>
        <w:t xml:space="preserve">ขอบเขตข้อมูลที่ให้บริการ</w:t>
      </w:r>
    </w:p>
    <w:p>
      <w:pPr>
        <w:pStyle w:val="Compact"/>
        <w:numPr>
          <w:ilvl w:val="0"/>
          <w:numId w:val="1001"/>
        </w:numPr>
      </w:pPr>
      <w:r>
        <w:t xml:space="preserve">ค่ามอดุลัสเชิงปริมาตร (bulk modulus, K) และเปอร์เซ็นต์การเปลี่ยนแปลงเทียบ HAp บริสุทธิ์ (ΔK%)</w:t>
      </w:r>
    </w:p>
    <w:p>
      <w:pPr>
        <w:pStyle w:val="Compact"/>
        <w:numPr>
          <w:ilvl w:val="0"/>
          <w:numId w:val="1001"/>
        </w:numPr>
      </w:pPr>
      <w:r>
        <w:t xml:space="preserve">ค่าช่องว่างแถบพลังงาน (band gap, E_g) และพลังงานการก่อตัว (formation energy)</w:t>
      </w:r>
    </w:p>
    <w:p>
      <w:pPr>
        <w:pStyle w:val="Compact"/>
        <w:numPr>
          <w:ilvl w:val="0"/>
          <w:numId w:val="1001"/>
        </w:numPr>
      </w:pPr>
      <w:r>
        <w:t xml:space="preserve">รัศมีไอออน ประจุ กลุ่มธาตุ และระดับความเป็นพิษ (toxicity) ของแต่ละสารเจือ</w:t>
      </w:r>
    </w:p>
    <w:p>
      <w:pPr>
        <w:pStyle w:val="Compact"/>
        <w:numPr>
          <w:ilvl w:val="0"/>
          <w:numId w:val="1001"/>
        </w:numPr>
      </w:pPr>
      <w:r>
        <w:t xml:space="preserve">ค่าดัชนีความเหมาะสมทางชีวการแพทย์ (Biomedical Figure of Merit, BFoM)</w:t>
      </w:r>
    </w:p>
    <w:p>
      <w:pPr>
        <w:pStyle w:val="Compact"/>
        <w:numPr>
          <w:ilvl w:val="0"/>
          <w:numId w:val="1001"/>
        </w:numPr>
      </w:pPr>
      <w:r>
        <w:t xml:space="preserve">ผลการทำนายสำหรับการเจือร่วม (co-doping) ในระบบสองสารเจือ</w:t>
      </w:r>
    </w:p>
    <w:p>
      <w:pPr>
        <w:pStyle w:val="FirstParagraph"/>
      </w:pPr>
      <w:r>
        <w:rPr>
          <w:b/>
          <w:bCs/>
        </w:rPr>
        <w:t xml:space="preserve">ข้อจำกัด</w:t>
      </w:r>
      <w:r>
        <w:t xml:space="preserve"> </w:t>
      </w:r>
      <w:r>
        <w:t xml:space="preserve">ค่าที่แสดงเป็นค่าทำนายจากแบบจำลอง มิใช่ค่าที่วัดจากการทดลอง ผู้ใช้ควรตรวจสอบด้วย</w:t>
      </w:r>
      <w:r>
        <w:t xml:space="preserve"> </w:t>
      </w:r>
      <w:r>
        <w:t xml:space="preserve">การคำนวณ DFT หรือการทดลองก่อนนำไปใช้ออกแบบวัสดุจริง</w:t>
      </w:r>
    </w:p>
    <w:bookmarkEnd w:id="10"/>
    <w:bookmarkStart w:id="11" w:name="กลมผใชฐานขอมลเปาหมาย"/>
    <w:p>
      <w:pPr>
        <w:pStyle w:val="Heading2"/>
      </w:pPr>
      <w:r>
        <w:t xml:space="preserve">3. กลุ่มผู้ใช้ฐานข้อมูลเป้าหมาย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กลุ่มผู้ใช้</w:t>
            </w:r>
          </w:p>
        </w:tc>
        <w:tc>
          <w:tcPr/>
          <w:p>
            <w:pPr>
              <w:pStyle w:val="Compact"/>
            </w:pPr>
            <w:r>
              <w:t xml:space="preserve">ลักษณะการใช้ประโยชน์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นักวิจัยด้านวัสดุชีวภาพและวัสดุศาสตร์</w:t>
            </w:r>
          </w:p>
        </w:tc>
        <w:tc>
          <w:tcPr/>
          <w:p>
            <w:pPr>
              <w:pStyle w:val="Compact"/>
            </w:pPr>
            <w:r>
              <w:t xml:space="preserve">คัดเลือกสารเจือที่เพิ่มสมบัติเชิงกลของ HAp ก่อนการสังเคราะห์จริง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นักวิจัยด้านการคำนวณ (DFT / ML)</w:t>
            </w:r>
          </w:p>
        </w:tc>
        <w:tc>
          <w:tcPr/>
          <w:p>
            <w:pPr>
              <w:pStyle w:val="Compact"/>
            </w:pPr>
            <w:r>
              <w:t xml:space="preserve">ใช้เป็นค่าอ้างอิงเริ่มต้นและกรอบเปรียบเทียบผลการคำนวณ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อาจารย์และนิสิตนักศึกษาระดับบัณฑิตศึกษา</w:t>
            </w:r>
          </w:p>
        </w:tc>
        <w:tc>
          <w:tcPr/>
          <w:p>
            <w:pPr>
              <w:pStyle w:val="Compact"/>
            </w:pPr>
            <w:r>
              <w:t xml:space="preserve">ใช้ประกอบการเรียนการสอนและงานวิจัยด้าน computational materials science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นักวิจัยและผู้พัฒนาด้านวัสดุทางทันตกรรมและกระดูกเทียม</w:t>
            </w:r>
          </w:p>
        </w:tc>
        <w:tc>
          <w:tcPr/>
          <w:p>
            <w:pPr>
              <w:pStyle w:val="Compact"/>
            </w:pPr>
            <w:r>
              <w:t xml:space="preserve">ประเมินความเหมาะสมของสารเจือทั้งด้านสมบัติเชิงกลและความเป็นพิษ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ผู้สนใจทั่วไป</w:t>
            </w:r>
          </w:p>
        </w:tc>
        <w:tc>
          <w:tcPr/>
          <w:p>
            <w:pPr>
              <w:pStyle w:val="Compact"/>
            </w:pPr>
            <w:r>
              <w:t xml:space="preserve">เข้าถึงผลงานวิจัยในรูปแบบที่เข้าใจง่ายผ่านตารางธาตุเชิงโต้ตอบ</w:t>
            </w:r>
          </w:p>
        </w:tc>
      </w:tr>
    </w:tbl>
    <w:bookmarkEnd w:id="11"/>
    <w:bookmarkStart w:id="12" w:name="ชองทางการเขาถงฐานขอมล"/>
    <w:p>
      <w:pPr>
        <w:pStyle w:val="Heading2"/>
      </w:pPr>
      <w:r>
        <w:t xml:space="preserve">4. ช่องทางการเข้าถึงฐานข้อมูล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เว็บไซต์หลัก</w:t>
      </w:r>
      <w:r>
        <w:t xml:space="preserve"> </w:t>
      </w:r>
      <w:r>
        <w:t xml:space="preserve">https://aofphy.github.io/-hap-dopant-database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ซอร์สโค้ดและข้อมูลดิบ</w:t>
      </w:r>
      <w:r>
        <w:t xml:space="preserve"> </w:t>
      </w:r>
      <w:r>
        <w:t xml:space="preserve">https://github.com/aofphy/-hap-dopant-database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สถิติการเข้าใช้งานแบบสาธารณะ</w:t>
      </w:r>
      <w:r>
        <w:t xml:space="preserve"> </w:t>
      </w:r>
      <w:r>
        <w:t xml:space="preserve">https://hap-dopant-db.goatcounter.com</w:t>
      </w:r>
    </w:p>
    <w:p>
      <w:pPr>
        <w:pStyle w:val="FirstParagraph"/>
      </w:pPr>
      <w:r>
        <w:t xml:space="preserve">การเข้าถึงไม่มีค่าใช้จ่าย ไม่ต้องสมัครสมาชิก และไม่มีการเก็บข้อมูลส่วนบุคคลของผู้เข้าชม</w:t>
      </w:r>
    </w:p>
    <w:bookmarkEnd w:id="12"/>
    <w:bookmarkStart w:id="15" w:name="โครงสรางขอมลและแหลงทมา"/>
    <w:p>
      <w:pPr>
        <w:pStyle w:val="Heading2"/>
      </w:pPr>
      <w:r>
        <w:t xml:space="preserve">5. โครงสร้างข้อมูลและแหล่งที่มา</w:t>
      </w:r>
    </w:p>
    <w:bookmarkStart w:id="13" w:name="โครงสรางขอมลรายธาต"/>
    <w:p>
      <w:pPr>
        <w:pStyle w:val="Heading3"/>
      </w:pPr>
      <w:r>
        <w:t xml:space="preserve">5.1 โครงสร้างข้อมูลรายธาตุ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ฟิลด์ข้อมูล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  <w:tc>
          <w:tcPr/>
          <w:p>
            <w:pPr>
              <w:pStyle w:val="Compact"/>
            </w:pPr>
            <w:r>
              <w:t xml:space="preserve">หน่วย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ลำดับตามค่ามอดุลัสเชิงปริมาตรจากมากไปน้อย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สัญลักษณ์ธาตุพร้อมสถานะออกซิเดชัน เช่น Sr²⁺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กลุ่มธาตุ (Alkali, Alkaline Earth, 3d/4d/5d TM, Lanthanide, Post-TM)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มอดุลัสเชิงปริมาตรที่ทำนายได้</w:t>
            </w:r>
          </w:p>
        </w:tc>
        <w:tc>
          <w:tcPr/>
          <w:p>
            <w:pPr>
              <w:pStyle w:val="Compact"/>
            </w:pPr>
            <w:r>
              <w:t xml:space="preserve">GPa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ΔK</w:t>
            </w:r>
          </w:p>
        </w:tc>
        <w:tc>
          <w:tcPr/>
          <w:p>
            <w:pPr>
              <w:pStyle w:val="Compact"/>
            </w:pPr>
            <w:r>
              <w:t xml:space="preserve">เปอร์เซ็นต์การเปลี่ยนแปลงเทียบ HAp บริสุทธิ์ (102.92 GPa)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Ionic Radius</w:t>
            </w:r>
          </w:p>
        </w:tc>
        <w:tc>
          <w:tcPr/>
          <w:p>
            <w:pPr>
              <w:pStyle w:val="Compact"/>
            </w:pPr>
            <w:r>
              <w:t xml:space="preserve">รัศมีไอออน</w:t>
            </w:r>
          </w:p>
        </w:tc>
        <w:tc>
          <w:tcPr/>
          <w:p>
            <w:pPr>
              <w:pStyle w:val="Compact"/>
            </w:pPr>
            <w:r>
              <w:t xml:space="preserve">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Charge</w:t>
            </w:r>
          </w:p>
        </w:tc>
        <w:tc>
          <w:tcPr/>
          <w:p>
            <w:pPr>
              <w:pStyle w:val="Compact"/>
            </w:pPr>
            <w:r>
              <w:t xml:space="preserve">ประจุของไอออนสารเจือ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Toxicity</w:t>
            </w:r>
          </w:p>
        </w:tc>
        <w:tc>
          <w:tcPr/>
          <w:p>
            <w:pPr>
              <w:pStyle w:val="Compact"/>
            </w:pPr>
            <w:r>
              <w:t xml:space="preserve">ระดับความเป็นพิษ (Low / Moderate / High)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bookmarkEnd w:id="13"/>
    <w:bookmarkStart w:id="14" w:name="แหลงขอมลและแบบจำลอง"/>
    <w:p>
      <w:pPr>
        <w:pStyle w:val="Heading3"/>
      </w:pPr>
      <w:r>
        <w:t xml:space="preserve">5.2 แหล่งข้อมูลและแบบจำลอง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ข้อมูลฝึกแบบจำลอง</w:t>
      </w:r>
      <w:r>
        <w:t xml:space="preserve"> </w:t>
      </w:r>
      <w:r>
        <w:t xml:space="preserve">ฐานข้อมูล AFLOW (1,181 สารประกอบ สำหรับ bulk modulus) และ MatBench</w:t>
      </w:r>
      <w:r>
        <w:t xml:space="preserve"> </w:t>
      </w:r>
      <w:r>
        <w:t xml:space="preserve">(อย่างละ 10,000 รายการ สำหรับ band gap และ formation energy)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ตัวบ่งชี้ลักษณะ (features)</w:t>
      </w:r>
      <w:r>
        <w:t xml:space="preserve"> </w:t>
      </w:r>
      <w:r>
        <w:t xml:space="preserve">Matminer MAGPIE descriptors จำนวน 132 มิติ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อัลกอริทึม</w:t>
      </w:r>
      <w:r>
        <w:t xml:space="preserve"> </w:t>
      </w:r>
      <w:r>
        <w:t xml:space="preserve">Random Forest พร้อมการประเมินความไม่แน่นอนแบบ bootstrap (n = 100)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การตรวจสอบด้วย DFT</w:t>
      </w:r>
      <w:r>
        <w:t xml:space="preserve"> </w:t>
      </w:r>
      <w:r>
        <w:t xml:space="preserve">VASP (ฟังก์ชันนัล PBE) จำนวน 20 สารเจือตัวแทน ทั้งตำแหน่ง Ca1 (4f)</w:t>
      </w:r>
      <w:r>
        <w:t xml:space="preserve"> </w:t>
      </w:r>
      <w:r>
        <w:t xml:space="preserve">และ Ca2 (6h) รวม 58 โครงสร้าง</w:t>
      </w:r>
    </w:p>
    <w:bookmarkEnd w:id="14"/>
    <w:bookmarkEnd w:id="15"/>
    <w:bookmarkStart w:id="61" w:name="วธการใชงาน"/>
    <w:p>
      <w:pPr>
        <w:pStyle w:val="Heading2"/>
      </w:pPr>
      <w:r>
        <w:t xml:space="preserve">6. วิธีการใช้งาน</w:t>
      </w:r>
    </w:p>
    <w:bookmarkStart w:id="19" w:name="หนาแรกและแถบนำทาง"/>
    <w:p>
      <w:pPr>
        <w:pStyle w:val="Heading3"/>
      </w:pPr>
      <w:r>
        <w:t xml:space="preserve">6.1 หน้าแรกและแถบนำทาง</w:t>
      </w:r>
    </w:p>
    <w:p>
      <w:pPr>
        <w:pStyle w:val="FirstParagraph"/>
      </w:pPr>
      <w:r>
        <w:t xml:space="preserve">เมื่อเปิด URL ของฐานข้อมูล จะพบหน้าแรกซึ่งสรุปขอบเขตงานวิจัยและตัวเลขสำคัญ ได้แก่ จำนวนธาตุที่คัดกรอง (59)</w:t>
      </w:r>
      <w:r>
        <w:t xml:space="preserve"> </w:t>
      </w:r>
      <w:r>
        <w:t xml:space="preserve">ความแม่นยำของแบบจำลอง (R² = 0.954) จำนวนการตรวจสอบด้วย DFT (20) และจำนวนสมบัติที่ทำนาย (3)</w:t>
      </w:r>
      <w:r>
        <w:t xml:space="preserve"> </w:t>
      </w:r>
      <w:r>
        <w:t xml:space="preserve">แถบนำทางด้านบนใช้ข้ามไปยังแต่ละส่วนของฐานข้อมูล และมุมขวาบนแสดงจำนวนผู้เข้าชมสะสม</w:t>
      </w:r>
    </w:p>
    <w:p>
      <w:pPr>
        <w:pStyle w:val="BodyText"/>
      </w:pPr>
      <w:r>
        <w:drawing>
          <wp:inline>
            <wp:extent cx="5334000" cy="323903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s/fig1-hom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9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1</w:t>
      </w:r>
      <w:r>
        <w:t xml:space="preserve"> </w:t>
      </w:r>
      <w:r>
        <w:t xml:space="preserve">หน้าแรกของฐานข้อมูล แสดงแถบนำทาง ตัวนับผู้เข้าชม และตัวเลขสรุปผลการวิจัย</w:t>
      </w:r>
    </w:p>
    <w:bookmarkEnd w:id="19"/>
    <w:bookmarkStart w:id="26" w:name="X087647d24bd4e62ba6cb7a49cd1e6ce12eba0c1"/>
    <w:p>
      <w:pPr>
        <w:pStyle w:val="Heading3"/>
      </w:pPr>
      <w:r>
        <w:t xml:space="preserve">6.2 ตารางธาตุเชิงโต้ตอบ (Periodic Table Screening)</w:t>
      </w:r>
    </w:p>
    <w:p>
      <w:pPr>
        <w:pStyle w:val="FirstParagraph"/>
      </w:pPr>
      <w:r>
        <w:t xml:space="preserve">ส่วนนี้แสดงผลการคัดกรองในรูปแบบตารางธาตุ โดยใช้สีแทนการเปลี่ยนแปลงของมอดุลัสเชิงปริมาตร</w:t>
      </w:r>
      <w:r>
        <w:t xml:space="preserve"> </w:t>
      </w:r>
      <w:r>
        <w:t xml:space="preserve">สีแดง–ส้มหมายถึงสารเจือที่ทำให้โครงสร้างแข็งแรงขึ้น (strengthening) และสีน้ำเงินหมายถึงสารเจือที่ทำให้อ่อนลง</w:t>
      </w:r>
      <w:r>
        <w:t xml:space="preserve"> </w:t>
      </w:r>
      <w:r>
        <w:t xml:space="preserve">(weakening) ธาตุที่เป็นสีเทาคือธาตุที่ไม่อยู่ในขอบเขตการศึกษา</w:t>
      </w:r>
    </w:p>
    <w:p>
      <w:pPr>
        <w:pStyle w:val="BodyText"/>
      </w:pPr>
      <w:r>
        <w:drawing>
          <wp:inline>
            <wp:extent cx="5334000" cy="3257176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fig2-periodi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2</w:t>
      </w:r>
      <w:r>
        <w:t xml:space="preserve"> </w:t>
      </w:r>
      <w:r>
        <w:t xml:space="preserve">ตารางธาตุเชิงโต้ตอบพร้อมแถบสีมาตรฐาน (color scale)</w:t>
      </w:r>
    </w:p>
    <w:p>
      <w:pPr>
        <w:pStyle w:val="BodyText"/>
      </w:pPr>
      <w:r>
        <w:rPr>
          <w:b/>
          <w:bCs/>
        </w:rPr>
        <w:t xml:space="preserve">ขั้นตอนการใช้งาน</w:t>
      </w:r>
    </w:p>
    <w:p>
      <w:pPr>
        <w:pStyle w:val="Compact"/>
        <w:numPr>
          <w:ilvl w:val="0"/>
          <w:numId w:val="1004"/>
        </w:numPr>
      </w:pPr>
      <w:r>
        <w:t xml:space="preserve">เลื่อนหน้าจอมายังหัวข้อ</w:t>
      </w:r>
      <w:r>
        <w:t xml:space="preserve"> </w:t>
      </w:r>
      <w:r>
        <w:rPr>
          <w:i/>
          <w:iCs/>
        </w:rPr>
        <w:t xml:space="preserve">Periodic Table of HAp Dopants</w:t>
      </w:r>
      <w:r>
        <w:t xml:space="preserve"> </w:t>
      </w:r>
      <w:r>
        <w:t xml:space="preserve">หรือคลิกเมนู</w:t>
      </w:r>
      <w:r>
        <w:t xml:space="preserve"> </w:t>
      </w:r>
      <w:r>
        <w:rPr>
          <w:b/>
          <w:bCs/>
        </w:rPr>
        <w:t xml:space="preserve">Periodic Table</w:t>
      </w:r>
    </w:p>
    <w:p>
      <w:pPr>
        <w:pStyle w:val="Compact"/>
        <w:numPr>
          <w:ilvl w:val="0"/>
          <w:numId w:val="1004"/>
        </w:numPr>
      </w:pPr>
      <w:r>
        <w:t xml:space="preserve">สังเกตค่าที่แสดงใต้สัญลักษณ์ธาตุ ซึ่งเป็นค่า ΔK% ของธาตุนั้น</w:t>
      </w:r>
    </w:p>
    <w:p>
      <w:pPr>
        <w:pStyle w:val="Compact"/>
        <w:numPr>
          <w:ilvl w:val="0"/>
          <w:numId w:val="1004"/>
        </w:numPr>
      </w:pPr>
      <w:r>
        <w:t xml:space="preserve">คลิกที่ธาตุที่สนใจ ระบบจะแสดงการ์ดรายละเอียดด้านล่างตาราง</w:t>
      </w:r>
    </w:p>
    <w:p>
      <w:pPr>
        <w:pStyle w:val="FirstParagraph"/>
      </w:pPr>
      <w:r>
        <w:drawing>
          <wp:inline>
            <wp:extent cx="5334000" cy="446741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s/fig3-element-detail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67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3</w:t>
      </w:r>
      <w:r>
        <w:t xml:space="preserve"> </w:t>
      </w:r>
      <w:r>
        <w:t xml:space="preserve">ตัวอย่างการคลิกเลือกธาตุ Sr²⁺ ระบบแสดงมอดุลัสเชิงปริมาตร 104.09 GPa (+1.14%)</w:t>
      </w:r>
      <w:r>
        <w:t xml:space="preserve"> </w:t>
      </w:r>
      <w:r>
        <w:t xml:space="preserve">รัศมีไอออน 1.18 Å กลุ่มธาตุ ลำดับการคัดกรอง (#15 จาก 59) และระดับความเป็นพิษ</w:t>
      </w:r>
    </w:p>
    <w:bookmarkEnd w:id="26"/>
    <w:bookmarkStart w:id="33" w:name="X70557fa9fc9fe24d31ab2f132446d3cb66a86b0"/>
    <w:p>
      <w:pPr>
        <w:pStyle w:val="Heading3"/>
      </w:pPr>
      <w:r>
        <w:t xml:space="preserve">6.3 ตารางฐานข้อมูลฉบับเต็ม (Dopant Screening Database)</w:t>
      </w:r>
    </w:p>
    <w:p>
      <w:pPr>
        <w:pStyle w:val="FirstParagraph"/>
      </w:pPr>
      <w:r>
        <w:t xml:space="preserve">ส่วนนี้แสดงข้อมูลครบทั้ง 59 ธาตุในรูปแบบตาราง พร้อมเครื่องมือค้นหา กรอง และเรียงลำดับ</w:t>
      </w:r>
    </w:p>
    <w:p>
      <w:pPr>
        <w:pStyle w:val="BodyText"/>
      </w:pPr>
      <w:r>
        <w:drawing>
          <wp:inline>
            <wp:extent cx="5334000" cy="323903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s/fig4-databas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9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4</w:t>
      </w:r>
      <w:r>
        <w:t xml:space="preserve"> </w:t>
      </w:r>
      <w:r>
        <w:t xml:space="preserve">ตารางฐานข้อมูลแสดงผลเรียงตามลำดับการคัดกรอง</w:t>
      </w:r>
    </w:p>
    <w:p>
      <w:pPr>
        <w:pStyle w:val="BodyText"/>
      </w:pPr>
      <w:r>
        <w:rPr>
          <w:b/>
          <w:bCs/>
        </w:rPr>
        <w:t xml:space="preserve">ขั้นตอนการใช้งาน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ค้นหา</w:t>
      </w:r>
      <w:r>
        <w:t xml:space="preserve"> </w:t>
      </w:r>
      <w:r>
        <w:t xml:space="preserve">พิมพ์สัญลักษณ์ธาตุในช่อง</w:t>
      </w:r>
      <w:r>
        <w:t xml:space="preserve"> </w:t>
      </w:r>
      <w:r>
        <w:rPr>
          <w:i/>
          <w:iCs/>
        </w:rPr>
        <w:t xml:space="preserve">Search element…</w:t>
      </w:r>
      <w:r>
        <w:t xml:space="preserve"> </w:t>
      </w:r>
      <w:r>
        <w:t xml:space="preserve">เช่น</w:t>
      </w:r>
      <w:r>
        <w:t xml:space="preserve"> </w:t>
      </w:r>
      <w:r>
        <w:rPr>
          <w:rStyle w:val="VerbatimChar"/>
        </w:rPr>
        <w:t xml:space="preserve">Sr</w:t>
      </w:r>
      <w:r>
        <w:t xml:space="preserve"> </w:t>
      </w:r>
      <w:r>
        <w:t xml:space="preserve">เพื่อกรองเฉพาะธาตุที่ต้องการ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กรองตามกลุ่มธาตุ</w:t>
      </w:r>
      <w:r>
        <w:t xml:space="preserve"> </w:t>
      </w:r>
      <w:r>
        <w:t xml:space="preserve">เลือกจากรายการ</w:t>
      </w:r>
      <w:r>
        <w:t xml:space="preserve"> </w:t>
      </w:r>
      <w:r>
        <w:rPr>
          <w:i/>
          <w:iCs/>
        </w:rPr>
        <w:t xml:space="preserve">All Groups</w:t>
      </w:r>
      <w:r>
        <w:t xml:space="preserve"> </w:t>
      </w:r>
      <w:r>
        <w:t xml:space="preserve">เช่น Lanthanide, 3d TM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กรองตามความเป็นพิษ</w:t>
      </w:r>
      <w:r>
        <w:t xml:space="preserve"> </w:t>
      </w:r>
      <w:r>
        <w:t xml:space="preserve">เลือกจากรายการ</w:t>
      </w:r>
      <w:r>
        <w:t xml:space="preserve"> </w:t>
      </w:r>
      <w:r>
        <w:rPr>
          <w:i/>
          <w:iCs/>
        </w:rPr>
        <w:t xml:space="preserve">All Toxicity</w:t>
      </w:r>
      <w:r>
        <w:t xml:space="preserve"> </w:t>
      </w:r>
      <w:r>
        <w:t xml:space="preserve">(Low / Moderate / High)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เรียงลำดับ</w:t>
      </w:r>
      <w:r>
        <w:t xml:space="preserve"> </w:t>
      </w:r>
      <w:r>
        <w:t xml:space="preserve">คลิกที่หัวคอลัมน์ใดก็ได้เพื่อสลับการเรียงจากน้อยไปมากหรือมากไปน้อย</w:t>
      </w:r>
      <w:r>
        <w:t xml:space="preserve"> </w:t>
      </w:r>
      <w:r>
        <w:t xml:space="preserve">สัญลักษณ์ ▲ / ▼ ระบุทิศทางการเรียงปัจจุบัน</w:t>
      </w:r>
    </w:p>
    <w:p>
      <w:pPr>
        <w:pStyle w:val="Compact"/>
        <w:numPr>
          <w:ilvl w:val="0"/>
          <w:numId w:val="1005"/>
        </w:numPr>
      </w:pPr>
      <w:r>
        <w:t xml:space="preserve">ตัวเลขจำนวนรายการที่ผ่านเงื่อนไขจะแสดงถัดจากตัวกรอง (เช่น</w:t>
      </w:r>
      <w:r>
        <w:t xml:space="preserve"> </w:t>
      </w:r>
      <w:r>
        <w:rPr>
          <w:i/>
          <w:iCs/>
        </w:rPr>
        <w:t xml:space="preserve">14 elements</w:t>
      </w:r>
      <w:r>
        <w:t xml:space="preserve">)</w:t>
      </w:r>
    </w:p>
    <w:p>
      <w:pPr>
        <w:pStyle w:val="FirstParagraph"/>
      </w:pPr>
      <w:r>
        <w:drawing>
          <wp:inline>
            <wp:extent cx="5334000" cy="323903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s/fig5-filte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9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5</w:t>
      </w:r>
      <w:r>
        <w:t xml:space="preserve"> </w:t>
      </w:r>
      <w:r>
        <w:t xml:space="preserve">ตัวอย่างการกรองเฉพาะกลุ่มแลนทาไนด์ที่มีความเป็นพิษระดับต่ำ เหลือ 14 ธาตุ</w:t>
      </w:r>
    </w:p>
    <w:bookmarkEnd w:id="33"/>
    <w:bookmarkStart w:id="49" w:name="Xc92f108dc83ed9f70e439305d66b21692a7f2c7"/>
    <w:p>
      <w:pPr>
        <w:pStyle w:val="Heading3"/>
      </w:pPr>
      <w:r>
        <w:t xml:space="preserve">6.4 เครื่องมือทำนายสมบัติ (Dopant Property Predictor)</w:t>
      </w:r>
    </w:p>
    <w:p>
      <w:pPr>
        <w:pStyle w:val="FirstParagraph"/>
      </w:pPr>
      <w:r>
        <w:t xml:space="preserve">เครื่องมือนี้ให้ผู้ใช้เลือกสารเจือและความเข้มข้นเพื่อดูค่าสมบัติที่ทำนายได้ แบ่งเป็น 3 โหมด</w:t>
      </w:r>
    </w:p>
    <w:bookmarkStart w:id="40" w:name="โหมด-single-dopant-ทำนายสารเจอเดยว"/>
    <w:p>
      <w:pPr>
        <w:pStyle w:val="Heading4"/>
      </w:pPr>
      <w:r>
        <w:t xml:space="preserve">6.4.1 โหมด Single Dopant — ทำนายสารเจือเดี่ยว</w:t>
      </w:r>
    </w:p>
    <w:p>
      <w:pPr>
        <w:pStyle w:val="FirstParagraph"/>
      </w:pPr>
      <w:r>
        <w:drawing>
          <wp:inline>
            <wp:extent cx="5334000" cy="323903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s/fig6-predict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9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6</w:t>
      </w:r>
      <w:r>
        <w:t xml:space="preserve"> </w:t>
      </w:r>
      <w:r>
        <w:t xml:space="preserve">หน้าจอโหมด Single Dopant พร้อมแผนภาพความสัมพันธ์ระหว่างรัศมีไอออนกับมอดุลัสเชิงปริมาตร</w:t>
      </w:r>
    </w:p>
    <w:p>
      <w:pPr>
        <w:pStyle w:val="BodyText"/>
      </w:pPr>
      <w:r>
        <w:rPr>
          <w:b/>
          <w:bCs/>
        </w:rPr>
        <w:t xml:space="preserve">ขั้นตอนการใช้งาน</w:t>
      </w:r>
    </w:p>
    <w:p>
      <w:pPr>
        <w:pStyle w:val="Compact"/>
        <w:numPr>
          <w:ilvl w:val="0"/>
          <w:numId w:val="1006"/>
        </w:numPr>
      </w:pPr>
      <w:r>
        <w:t xml:space="preserve">เลือกธาตุจากรายการ</w:t>
      </w:r>
      <w:r>
        <w:t xml:space="preserve"> </w:t>
      </w:r>
      <w:r>
        <w:rPr>
          <w:i/>
          <w:iCs/>
        </w:rPr>
        <w:t xml:space="preserve">Dopant Element</w:t>
      </w:r>
    </w:p>
    <w:p>
      <w:pPr>
        <w:pStyle w:val="Compact"/>
        <w:numPr>
          <w:ilvl w:val="0"/>
          <w:numId w:val="1006"/>
        </w:numPr>
      </w:pPr>
      <w:r>
        <w:t xml:space="preserve">เลื่อนแถบ</w:t>
      </w:r>
      <w:r>
        <w:t xml:space="preserve"> </w:t>
      </w:r>
      <w:r>
        <w:rPr>
          <w:i/>
          <w:iCs/>
        </w:rPr>
        <w:t xml:space="preserve">Concentration</w:t>
      </w:r>
      <w:r>
        <w:t xml:space="preserve"> </w:t>
      </w:r>
      <w:r>
        <w:t xml:space="preserve">เพื่อกำหนดความเข้มข้นของการแทนที่ (1–50 mol%)</w:t>
      </w:r>
    </w:p>
    <w:p>
      <w:pPr>
        <w:pStyle w:val="Compact"/>
        <w:numPr>
          <w:ilvl w:val="0"/>
          <w:numId w:val="1006"/>
        </w:numPr>
      </w:pPr>
      <w:r>
        <w:t xml:space="preserve">ระบบจะแสดงสูตรเคมีของสารประกอบที่ได้ เช่น Ca₉Sr₁(PO₄)₆(OH)₂ พร้อมค่าที่ทำนาย</w:t>
      </w:r>
    </w:p>
    <w:p>
      <w:pPr>
        <w:pStyle w:val="Compact"/>
        <w:numPr>
          <w:ilvl w:val="0"/>
          <w:numId w:val="1006"/>
        </w:numPr>
      </w:pPr>
      <w:r>
        <w:t xml:space="preserve">อ่านค่าดัชนี BFoM ซึ่งรวมผลของสมบัติเชิงกล เสถียรภาพ โครงสร้างอิเล็กทรอนิกส์ และความเป็นพิษ</w:t>
      </w:r>
    </w:p>
    <w:p>
      <w:pPr>
        <w:pStyle w:val="Compact"/>
        <w:numPr>
          <w:ilvl w:val="0"/>
          <w:numId w:val="1006"/>
        </w:numPr>
      </w:pPr>
      <w:r>
        <w:t xml:space="preserve">แผนภาพด้านขวาจะเน้นตำแหน่งของธาตุที่เลือกเทียบกับธาตุอื่นทั้งหมด</w:t>
      </w:r>
    </w:p>
    <w:p>
      <w:pPr>
        <w:pStyle w:val="FirstParagraph"/>
      </w:pPr>
      <w:r>
        <w:drawing>
          <wp:inline>
            <wp:extent cx="5334000" cy="323903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s/fig7-predict-result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9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7</w:t>
      </w:r>
      <w:r>
        <w:t xml:space="preserve"> </w:t>
      </w:r>
      <w:r>
        <w:t xml:space="preserve">ผลการทำนายสำหรับ Ca₉Sr₁(PO₄)₆(OH)₂ ที่ 10 mol% ได้ K = 104.1 GPa (+1.14%)</w:t>
      </w:r>
      <w:r>
        <w:t xml:space="preserve"> </w:t>
      </w:r>
      <w:r>
        <w:t xml:space="preserve">band gap 3.12 eV และ BFoM = 0.683 พร้อมข้อความประเมินความเหมาะสมด้านความเป็นพิษ</w:t>
      </w:r>
    </w:p>
    <w:bookmarkEnd w:id="40"/>
    <w:bookmarkStart w:id="44" w:name="โหมด-compare-top-20-เปรยบเทยบ-20-อนดบแรก"/>
    <w:p>
      <w:pPr>
        <w:pStyle w:val="Heading4"/>
      </w:pPr>
      <w:r>
        <w:t xml:space="preserve">6.4.2 โหมด Compare Top 20 — เปรียบเทียบ 20 อันดับแรก</w:t>
      </w:r>
    </w:p>
    <w:p>
      <w:pPr>
        <w:pStyle w:val="FirstParagraph"/>
      </w:pPr>
      <w:r>
        <w:t xml:space="preserve">คลิกปุ่ม</w:t>
      </w:r>
      <w:r>
        <w:t xml:space="preserve"> </w:t>
      </w:r>
      <w:r>
        <w:rPr>
          <w:b/>
          <w:bCs/>
        </w:rPr>
        <w:t xml:space="preserve">Compare Top 20</w:t>
      </w:r>
      <w:r>
        <w:t xml:space="preserve"> </w:t>
      </w:r>
      <w:r>
        <w:t xml:space="preserve">เพื่อดูแผนภูมิแท่งเปรียบเทียบสารเจือ 20 อันดับแรกตามค่า ΔK%</w:t>
      </w:r>
      <w:r>
        <w:t xml:space="preserve"> </w:t>
      </w:r>
      <w:r>
        <w:t xml:space="preserve">เมื่อนำเมาส์ชี้ที่แท่งใด ระบบจะแสดงค่าของธาตุนั้น</w:t>
      </w:r>
    </w:p>
    <w:p>
      <w:pPr>
        <w:pStyle w:val="BodyText"/>
      </w:pPr>
      <w:r>
        <w:drawing>
          <wp:inline>
            <wp:extent cx="5334000" cy="323903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s/fig8-compar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9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8</w:t>
      </w:r>
      <w:r>
        <w:t xml:space="preserve"> </w:t>
      </w:r>
      <w:r>
        <w:t xml:space="preserve">แผนภูมิเปรียบเทียบ 20 อันดับแรก โดยสีของแท่งแทนกลุ่มธาตุ</w:t>
      </w:r>
    </w:p>
    <w:bookmarkEnd w:id="44"/>
    <w:bookmarkStart w:id="48" w:name="โหมด-co-doping-การเจอรวมสองธาต"/>
    <w:p>
      <w:pPr>
        <w:pStyle w:val="Heading4"/>
      </w:pPr>
      <w:r>
        <w:t xml:space="preserve">6.4.3 โหมด Co-doping — การเจือร่วมสองธาตุ</w:t>
      </w:r>
    </w:p>
    <w:p>
      <w:pPr>
        <w:pStyle w:val="FirstParagraph"/>
      </w:pPr>
      <w:r>
        <w:t xml:space="preserve">คลิกปุ่ม</w:t>
      </w:r>
      <w:r>
        <w:t xml:space="preserve"> </w:t>
      </w:r>
      <w:r>
        <w:rPr>
          <w:b/>
          <w:bCs/>
        </w:rPr>
        <w:t xml:space="preserve">Co-doping</w:t>
      </w:r>
      <w:r>
        <w:t xml:space="preserve"> </w:t>
      </w:r>
      <w:r>
        <w:t xml:space="preserve">เพื่อดูผลการทำนายของระบบเจือร่วม Ca₈M₁N₁(PO₄)₆(OH)₂ พร้อมคำแนะนำ</w:t>
      </w:r>
      <w:r>
        <w:t xml:space="preserve"> </w:t>
      </w:r>
      <w:r>
        <w:t xml:space="preserve">เชิงออกแบบ ทั้งนี้ค่าที่แสดงคำนวณจากการประมาณแบบผสมเชิงเส้น (linear mixing approximation)</w:t>
      </w:r>
      <w:r>
        <w:t xml:space="preserve"> </w:t>
      </w:r>
      <w:r>
        <w:t xml:space="preserve">ซึ่งอาจไม่ครอบคลุมผลเสริมฤทธิ์หรือผลต้านฤทธิ์ระหว่างสารเจือ</w:t>
      </w:r>
    </w:p>
    <w:p>
      <w:pPr>
        <w:pStyle w:val="BodyText"/>
      </w:pPr>
      <w:r>
        <w:drawing>
          <wp:inline>
            <wp:extent cx="5334000" cy="323903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s/fig9-codoping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9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9</w:t>
      </w:r>
      <w:r>
        <w:t xml:space="preserve"> </w:t>
      </w:r>
      <w:r>
        <w:t xml:space="preserve">ตัวอย่างผลการเจือร่วม เช่น Sr–Mg (เสถียรภาพ + ความแข็งแรง, BFoM = 0.813)</w:t>
      </w:r>
      <w:r>
        <w:t xml:space="preserve"> </w:t>
      </w:r>
      <w:r>
        <w:t xml:space="preserve">และ Sr–Zn (เสถียรภาพ + ฤทธิ์ต้านแบคทีเรีย, BFoM = 0.824)</w:t>
      </w:r>
    </w:p>
    <w:bookmarkEnd w:id="48"/>
    <w:bookmarkEnd w:id="49"/>
    <w:bookmarkStart w:id="56" w:name="สวนระเบยบวธวจย-methodology"/>
    <w:p>
      <w:pPr>
        <w:pStyle w:val="Heading3"/>
      </w:pPr>
      <w:r>
        <w:t xml:space="preserve">6.5 ส่วนระเบียบวิธีวิจัย (Methodology)</w:t>
      </w:r>
    </w:p>
    <w:p>
      <w:pPr>
        <w:pStyle w:val="FirstParagraph"/>
      </w:pPr>
      <w:r>
        <w:t xml:space="preserve">ส่วนนี้อธิบายที่มาของค่าที่แสดงในฐานข้อมูล เพื่อให้ผู้ใช้ประเมินความน่าเชื่อถือของข้อมูลได้ด้วยตนเอง</w:t>
      </w:r>
      <w:r>
        <w:t xml:space="preserve"> </w:t>
      </w:r>
      <w:r>
        <w:t xml:space="preserve">ประกอบด้วยขั้นตอนการพัฒนาแบบจำลอง 3 ขั้น ตารางประสิทธิภาพของแบบจำลอง ผลการวิเคราะห์ SHAP</w:t>
      </w:r>
      <w:r>
        <w:t xml:space="preserve"> </w:t>
      </w:r>
      <w:r>
        <w:t xml:space="preserve">ผลการตรวจสอบด้วย DFT และนิยามของดัชนี BFoM</w:t>
      </w:r>
    </w:p>
    <w:p>
      <w:pPr>
        <w:pStyle w:val="BodyText"/>
      </w:pPr>
      <w:r>
        <w:drawing>
          <wp:inline>
            <wp:extent cx="5334000" cy="323903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mages/fig10-methodology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9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10</w:t>
      </w:r>
      <w:r>
        <w:t xml:space="preserve"> </w:t>
      </w:r>
      <w:r>
        <w:t xml:space="preserve">ขั้นตอนการพัฒนาแบบจำลอง ตั้งแต่ข้อมูลฝึก การสร้างตัวบ่งชี้ลักษณะ จนถึงการทำนายสมบัติ</w:t>
      </w:r>
    </w:p>
    <w:p>
      <w:pPr>
        <w:pStyle w:val="BodyText"/>
      </w:pPr>
      <w:r>
        <w:drawing>
          <wp:inline>
            <wp:extent cx="5334000" cy="323903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s/fig11-performanc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9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11</w:t>
      </w:r>
      <w:r>
        <w:t xml:space="preserve"> </w:t>
      </w:r>
      <w:r>
        <w:t xml:space="preserve">ตารางประสิทธิภาพของแบบจำลอง (R², MAE, RMSE พร้อมช่วงความเชื่อมั่น 95%)</w:t>
      </w:r>
      <w:r>
        <w:t xml:space="preserve"> </w:t>
      </w:r>
      <w:r>
        <w:t xml:space="preserve">ข้อค้นพบสำคัญ และการวิเคราะห์ความสำคัญของตัวแปรด้วย SHAP</w:t>
      </w:r>
    </w:p>
    <w:bookmarkEnd w:id="56"/>
    <w:bookmarkStart w:id="60" w:name="การใชงานบนโทรศพทมอถอ"/>
    <w:p>
      <w:pPr>
        <w:pStyle w:val="Heading3"/>
      </w:pPr>
      <w:r>
        <w:t xml:space="preserve">6.6 การใช้งานบนโทรศัพท์มือถือ</w:t>
      </w:r>
    </w:p>
    <w:p>
      <w:pPr>
        <w:pStyle w:val="FirstParagraph"/>
      </w:pPr>
      <w:r>
        <w:t xml:space="preserve">ฐานข้อมูลรองรับการแสดงผลแบบ responsive ผู้ใช้สามารถเปิดผ่านโทรศัพท์มือถือได้โดยไม่ต้องติดตั้งแอปพลิเคชัน</w:t>
      </w:r>
      <w:r>
        <w:t xml:space="preserve"> </w:t>
      </w:r>
      <w:r>
        <w:t xml:space="preserve">เมนูจะย่อเป็นปุ่มสามขีด และตารางข้อมูลสามารถเลื่อนตามแนวนอนได้</w:t>
      </w:r>
    </w:p>
    <w:p>
      <w:pPr>
        <w:pStyle w:val="BodyText"/>
      </w:pPr>
      <w:r>
        <w:drawing>
          <wp:inline>
            <wp:extent cx="2194560" cy="4749252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images/fig13-mobile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4749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12</w:t>
      </w:r>
      <w:r>
        <w:t xml:space="preserve"> </w:t>
      </w:r>
      <w:r>
        <w:t xml:space="preserve">การแสดงผลบนหน้าจอขนาด 390 × 844 พิกเซล</w:t>
      </w:r>
    </w:p>
    <w:bookmarkEnd w:id="60"/>
    <w:bookmarkEnd w:id="61"/>
    <w:bookmarkStart w:id="65" w:name="ระบบตดตามจำนวนผเขาชม"/>
    <w:p>
      <w:pPr>
        <w:pStyle w:val="Heading2"/>
      </w:pPr>
      <w:r>
        <w:t xml:space="preserve">7. ระบบติดตามจำนวนผู้เข้าชม</w:t>
      </w:r>
    </w:p>
    <w:p>
      <w:pPr>
        <w:pStyle w:val="FirstParagraph"/>
      </w:pPr>
      <w:r>
        <w:t xml:space="preserve">ฐานข้อมูลติดตั้งระบบเก็บสถิติการเข้าใช้งานด้วยบริการ GoatCounter ซึ่งเป็นระบบที่ไม่ใช้คุกกี้</w:t>
      </w:r>
      <w:r>
        <w:t xml:space="preserve"> </w:t>
      </w:r>
      <w:r>
        <w:t xml:space="preserve">และไม่เก็บข้อมูลส่วนบุคคลของผู้เข้าชม จำนวนผู้เข้าชมสะสมแสดงที่มุมขวาบนของทุกหน้า</w:t>
      </w:r>
      <w:r>
        <w:t xml:space="preserve"> </w:t>
      </w:r>
      <w:r>
        <w:t xml:space="preserve">และรายงานสถิติโดยละเอียดเปิดให้เข้าถึงแบบสาธารณะที่ https://hap-dopant-db.goatcounter.com</w:t>
      </w:r>
    </w:p>
    <w:p>
      <w:pPr>
        <w:pStyle w:val="BodyText"/>
      </w:pPr>
      <w:r>
        <w:t xml:space="preserve">ข้อมูลที่ระบบจัดเก็บและใช้เป็นหลักฐานการใช้ประโยชน์ ได้แก่ จำนวนการเข้าชมรายวัน/รายสัปดาห์/รายเดือน</w:t>
      </w:r>
      <w:r>
        <w:t xml:space="preserve"> </w:t>
      </w:r>
      <w:r>
        <w:t xml:space="preserve">หน้าที่ถูกเข้าชม แหล่งอ้างอิงที่นำผู้ใช้เข้าสู่เว็บไซต์ (referrer) ประเทศของผู้เข้าชม เบราว์เซอร์</w:t>
      </w:r>
      <w:r>
        <w:t xml:space="preserve"> </w:t>
      </w:r>
      <w:r>
        <w:t xml:space="preserve">และระบบปฏิบัติการ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images/fig12-analytic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13</w:t>
      </w:r>
      <w:r>
        <w:t xml:space="preserve"> </w:t>
      </w:r>
      <w:r>
        <w:t xml:space="preserve">ตัวอย่างรายงานสถิติผู้เข้าชมแบบสาธารณะ แสดงจำนวนการเข้าชม แหล่งอ้างอิง</w:t>
      </w:r>
      <w:r>
        <w:t xml:space="preserve"> </w:t>
      </w:r>
      <w:r>
        <w:t xml:space="preserve">ประเทศของผู้เข้าชม เบราว์เซอร์ และระบบปฏิบัติการ</w:t>
      </w:r>
    </w:p>
    <w:bookmarkEnd w:id="65"/>
    <w:bookmarkStart w:id="66" w:name="ระดบความสำเรจของการพฒนาฐานขอมล"/>
    <w:p>
      <w:pPr>
        <w:pStyle w:val="Heading2"/>
      </w:pPr>
      <w:r>
        <w:t xml:space="preserve">8. ระดับความสำเร็จของการพัฒนาฐานข้อมูล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ตัวชี้วัด</w:t>
            </w:r>
          </w:p>
        </w:tc>
        <w:tc>
          <w:tcPr/>
          <w:p>
            <w:pPr>
              <w:pStyle w:val="Compact"/>
            </w:pPr>
            <w:r>
              <w:t xml:space="preserve">ผลการดำเนินงาน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ความครบถ้วนของข้อมูล</w:t>
            </w:r>
          </w:p>
        </w:tc>
        <w:tc>
          <w:tcPr/>
          <w:p>
            <w:pPr>
              <w:pStyle w:val="Compact"/>
            </w:pPr>
            <w:r>
              <w:t xml:space="preserve">ครบ 59 ธาตุที่ไม่มีกัมมันตภาพรังสี พร้อมสมบัติ 3 ประเภทต่อธาตุ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การตรวจสอบความถูกต้อง</w:t>
            </w:r>
          </w:p>
        </w:tc>
        <w:tc>
          <w:tcPr/>
          <w:p>
            <w:pPr>
              <w:pStyle w:val="Compact"/>
            </w:pPr>
            <w:r>
              <w:t xml:space="preserve">ตรวจสอบด้วย DFT 20 สารเจือ (58 โครงสร้าง) ค่า MAE ของพารามิเตอร์แลตทิซ 0.009 Å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ความแม่นยำของแบบจำลอง</w:t>
            </w:r>
          </w:p>
        </w:tc>
        <w:tc>
          <w:tcPr/>
          <w:p>
            <w:pPr>
              <w:pStyle w:val="Compact"/>
            </w:pPr>
            <w:r>
              <w:t xml:space="preserve">R² = 0.954 (bulk modulus), 0.833 (band gap), 0.951 (formation energy)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การเผยแพร่</w:t>
            </w:r>
          </w:p>
        </w:tc>
        <w:tc>
          <w:tcPr/>
          <w:p>
            <w:pPr>
              <w:pStyle w:val="Compact"/>
            </w:pPr>
            <w:r>
              <w:t xml:space="preserve">เผยแพร่ออนไลน์แบบเปิดสาธารณะ เข้าถึงได้ตลอด 24 ชั่วโมง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ความสามารถเชิงโต้ตอบ</w:t>
            </w:r>
          </w:p>
        </w:tc>
        <w:tc>
          <w:tcPr/>
          <w:p>
            <w:pPr>
              <w:pStyle w:val="Compact"/>
            </w:pPr>
            <w:r>
              <w:t xml:space="preserve">ค้นหา กรอง เรียงลำดับ และทำนายสมบัติแบบโต้ตอบ 3 โหมด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การติดตามการใช้ประโยชน์</w:t>
            </w:r>
          </w:p>
        </w:tc>
        <w:tc>
          <w:tcPr/>
          <w:p>
            <w:pPr>
              <w:pStyle w:val="Compact"/>
            </w:pPr>
            <w:r>
              <w:t xml:space="preserve">ติดตั้งระบบเก็บสถิติผู้เข้าชมพร้อมรายงานสาธารณะ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ความโปร่งใสของข้อมูล</w:t>
            </w:r>
          </w:p>
        </w:tc>
        <w:tc>
          <w:tcPr/>
          <w:p>
            <w:pPr>
              <w:pStyle w:val="Compact"/>
            </w:pPr>
            <w:r>
              <w:t xml:space="preserve">เปิดเผยซอร์สโค้ดและชุดข้อมูลผ่าน GitHub</w:t>
            </w:r>
          </w:p>
        </w:tc>
      </w:tr>
    </w:tbl>
    <w:bookmarkEnd w:id="66"/>
    <w:bookmarkStart w:id="67" w:name="การอางอง"/>
    <w:p>
      <w:pPr>
        <w:pStyle w:val="Heading2"/>
      </w:pPr>
      <w:r>
        <w:t xml:space="preserve">9. การอ้างอิง</w:t>
      </w:r>
    </w:p>
    <w:p>
      <w:pPr>
        <w:pStyle w:val="FirstParagraph"/>
      </w:pPr>
      <w:r>
        <w:t xml:space="preserve">ผู้ที่นำข้อมูลจากฐานข้อมูลนี้ไปใช้ประโยชน์ ขอความอนุเคราะห์อ้างอิงผลงานต้นทาง</w:t>
      </w:r>
    </w:p>
    <w:p>
      <w:pPr>
        <w:pStyle w:val="BlockText"/>
      </w:pPr>
      <w:r>
        <w:t xml:space="preserve">“Machine-learning screening of cationic dopants in hydroxyapatite: Transfer learning predictions</w:t>
      </w:r>
      <w:r>
        <w:t xml:space="preserve"> </w:t>
      </w:r>
      <w:r>
        <w:t xml:space="preserve">validated by density functional theory.”</w:t>
      </w:r>
      <w:r>
        <w:t xml:space="preserve"> </w:t>
      </w:r>
      <w:r>
        <w:rPr>
          <w:i/>
          <w:iCs/>
        </w:rPr>
        <w:t xml:space="preserve">Physical Review Materials</w:t>
      </w:r>
      <w:r>
        <w:t xml:space="preserve"> </w:t>
      </w:r>
      <w:r>
        <w:t xml:space="preserve">(2025).</w:t>
      </w:r>
    </w:p>
    <w:bookmarkEnd w:id="67"/>
    <w:bookmarkStart w:id="68" w:name="ภาคผนวก-ขอมลทางเทคนค"/>
    <w:p>
      <w:pPr>
        <w:pStyle w:val="Heading2"/>
      </w:pPr>
      <w:r>
        <w:t xml:space="preserve">10. ภาคผนวก — ข้อมูลทางเทคนิค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เทคโนโลยีส่วนหน้า</w:t>
            </w:r>
          </w:p>
        </w:tc>
        <w:tc>
          <w:tcPr/>
          <w:p>
            <w:pPr>
              <w:pStyle w:val="Compact"/>
            </w:pPr>
            <w:r>
              <w:t xml:space="preserve">React 19 + TypeScript + Vite + Tailwind 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ไลบรารีสร้างกราฟ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การให้บริการ (hosting)</w:t>
            </w:r>
          </w:p>
        </w:tc>
        <w:tc>
          <w:tcPr/>
          <w:p>
            <w:pPr>
              <w:pStyle w:val="Compact"/>
            </w:pPr>
            <w:r>
              <w:t xml:space="preserve">GitHub Pages พร้อมการ deploy อัตโนมัติผ่าน GitHub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สถาปัตยกรรม</w:t>
            </w:r>
          </w:p>
        </w:tc>
        <w:tc>
          <w:tcPr/>
          <w:p>
            <w:pPr>
              <w:pStyle w:val="Compact"/>
            </w:pPr>
            <w:r>
              <w:t xml:space="preserve">เว็บแบบสถิต (static site) ไม่มีเซิร์ฟเวอร์ฐานข้อมูลเบื้องหลัง ข้อมูลฝังอยู่ในตัวเว็บ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ระบบสถิติผู้เข้าชม</w:t>
            </w:r>
          </w:p>
        </w:tc>
        <w:tc>
          <w:tcPr/>
          <w:p>
            <w:pPr>
              <w:pStyle w:val="Compact"/>
            </w:pPr>
            <w:r>
              <w:t xml:space="preserve">GoatCounter (ไม่ใช้คุกกี้ สอดคล้องกับหลักการคุ้มครองข้อมูลส่วนบุคคล)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การบำรุงรักษา</w:t>
            </w:r>
          </w:p>
        </w:tc>
        <w:tc>
          <w:tcPr/>
          <w:p>
            <w:pPr>
              <w:pStyle w:val="Compact"/>
            </w:pPr>
            <w:r>
              <w:t xml:space="preserve">ปรับปรุงข้อมูลโดยแก้ไขชุดข้อมูลในซอร์สโค้ดและ deploy ใหม่อัตโนมัติ</w:t>
            </w:r>
          </w:p>
        </w:tc>
      </w:tr>
    </w:tbl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arabun" w:cs="Sarabun" w:eastAsia="Sarabun" w:hAnsi="Sarabun"/>
        <w:sz w:val="28"/>
        <w:szCs w:val="28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62" Target="media/rId62.png" /><Relationship Type="http://schemas.openxmlformats.org/officeDocument/2006/relationships/image" Id="rId57" Target="media/rId5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Sarabun" panose="02110004020202020204"/>
        <a:ea typeface=""/>
        <a:cs typeface="Sarabun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Sarabun" panose="02110004020202020204"/>
        <a:ea typeface=""/>
        <a:cs typeface="Sarabun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2026-07-28T09:23:39Z</dcterms:created>
  <dcterms:modified xsi:type="dcterms:W3CDTF">2026-07-28T09:23:39Z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