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Broad ASD-associated microglial remodeling includes a reproducible but non-discrete candidate-reference program in human cortex</w:t>
      </w:r>
    </w:p>
    <w:p>
      <w:pPr>
        <w:jc w:val="center"/>
      </w:pPr>
      <w:r>
        <w:rPr>
          <w:i/>
          <w:sz w:val="20"/>
        </w:rPr>
        <w:t>Draft manuscript rewritten to match the finalized Figure 1-6 system and the retained-core candidate-reference narrative</w:t>
      </w:r>
    </w:p>
    <w:p>
      <w:pPr>
        <w:jc w:val="center"/>
      </w:pPr>
      <w:r>
        <w:t>Aojie Lian1,2,*, Yingmei Yang3, Yizheng Jiang1,4, Yiping Liu1, Mei He1</w:t>
      </w:r>
    </w:p>
    <w:p>
      <w:pPr>
        <w:jc w:val="center"/>
      </w:pPr>
      <w:r>
        <w:rPr>
          <w:sz w:val="21"/>
        </w:rPr>
        <w:t>1. NHC Key Laboratory of Birth Defect for Research and Prevention, Hunan Provincial Maternal and Child Health Care Hospital, Changsha, Hunan, China</w:t>
      </w:r>
    </w:p>
    <w:p>
      <w:pPr>
        <w:jc w:val="center"/>
      </w:pPr>
      <w:r>
        <w:rPr>
          <w:sz w:val="21"/>
        </w:rPr>
        <w:t>2. Hunan Provincial University Key Laboratory of the Fundamental and Clinical Research on Neurodegenerative Diseases, Changsha Medical University, Changsha, Hunan, China</w:t>
      </w:r>
    </w:p>
    <w:p>
      <w:pPr>
        <w:jc w:val="center"/>
      </w:pPr>
      <w:r>
        <w:rPr>
          <w:sz w:val="21"/>
        </w:rPr>
        <w:t>3. The Third Xiangya Hospital of Central South University, Changsha, Hunan, China</w:t>
      </w:r>
    </w:p>
    <w:p>
      <w:pPr>
        <w:jc w:val="center"/>
      </w:pPr>
      <w:r>
        <w:rPr>
          <w:sz w:val="21"/>
        </w:rPr>
        <w:t>4. School of Life Sciences, Central South University, Changsha, Hunan, China</w:t>
      </w:r>
    </w:p>
    <w:p>
      <w:pPr>
        <w:jc w:val="center"/>
      </w:pPr>
      <w:r>
        <w:rPr>
          <w:sz w:val="21"/>
        </w:rPr>
        <w:t>*Correspondence: Aojie Lian, Aojielian@gmail.com</w:t>
      </w:r>
    </w:p>
    <w:p>
      <w:pPr>
        <w:pStyle w:val="Heading1"/>
      </w:pPr>
      <w:r>
        <w:t>Abstract</w:t>
      </w:r>
    </w:p>
    <w:p>
      <w:r>
        <w:rPr>
          <w:b/>
        </w:rPr>
        <w:t xml:space="preserve">Background: </w:t>
      </w:r>
      <w:r>
        <w:t>Microglial abnormalities have been repeatedly implicated in autism spectrum disorder (ASD), but it remains unresolved whether cortical microglial alterations are best interpreted as sharply bounded disease-specific subtypes or as broader state remodeling within a retained microglial compartment.</w:t>
      </w:r>
    </w:p>
    <w:p>
      <w:r>
        <w:rPr>
          <w:b/>
        </w:rPr>
        <w:t xml:space="preserve">Methods: </w:t>
      </w:r>
      <w:r>
        <w:t>We analyzed cortical microglia in ASD using a donor-aware, multi-stage framework that integrated discovery-stage state definition, cross-cohort single-cell validation, and independent external bulk-cortex validation. In the PsychENCODE discovery dataset, we first applied stringent all-cluster auditing to the reclustered microglial space and restricted downstream inference to the retained microglial core. We then quantified donor-level abundance/composition shifts, tested diagnosis-enhanced internal state amplification using donor-paired modeling, and performed pseudobulk differential expression analyses in pooled retained microglia and in each retained cluster separately. Cross-cohort validation in the Velmeshev single-nucleus dataset was performed using frozen discovery-derived candidate and reference programs and seven prespecified score-based metrics. External validation in the Gandal 2022 bulk cortex cohort projected the same frozen programs into independent cortical tissue and assessed robustness by leave-one-region-out sensitivity analysis. Supplementary perturbation-based and transcription-factor-based prioritization analyses were retained as mechanistic and translational context only.</w:t>
      </w:r>
    </w:p>
    <w:p>
      <w:r>
        <w:rPr>
          <w:b/>
        </w:rPr>
        <w:t xml:space="preserve">Results: </w:t>
      </w:r>
      <w:r>
        <w:t>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pseudobulk analyses showed that ASD-associated transcriptional remodeling was detectable across the retained core and was not confined to cluster 2. In the Velmeshev cohort, mapped-cluster replication was weak, but all seven harmonized score-based validation metrics were directionally concordant with the discovery-prioritized expectation (7/7 matched; one-sided binomial P = 0.0078; one-sided Stouffer P = 5.36 × 10^-5). In the independent Gandal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
        <w:rPr>
          <w:b/>
        </w:rPr>
        <w:t xml:space="preserve">Limitations: </w:t>
      </w:r>
      <w:r>
        <w:t>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transcriptional regulator.</w:t>
      </w:r>
    </w:p>
    <w:p>
      <w:r>
        <w:rPr>
          <w:b/>
        </w:rPr>
        <w:t xml:space="preserve">Conclusions: </w:t>
      </w:r>
      <w:r>
        <w:t>ASD cortical microglial alterations are most consistently explained by broad disease-associated remodeling that includes a reproducible but non-discrete candidate-reference program, rather than by a strongly discrete replicated subtype. Cross-cohort single-cell analyses and independent bulk-cortex validation converge on the same retained-core remodeling axis.</w:t>
      </w:r>
    </w:p>
    <w:p>
      <w:r>
        <w:rPr>
          <w:b/>
        </w:rPr>
        <w:t xml:space="preserve">Keywords: </w:t>
      </w:r>
      <w:r>
        <w:t>Autism spectrum disorder; microglia; single-nucleus RNA sequencing; donor-aware analysis; pseudobulk; cortical remodeling; cross-cohort validation</w:t>
      </w:r>
    </w:p>
    <w:p>
      <w:pPr>
        <w:pStyle w:val="Heading1"/>
      </w:pPr>
      <w:r>
        <w:t>1. Introduction</w:t>
      </w:r>
    </w:p>
    <w:p>
      <w:r>
        <w:t>Autism spectrum disorder (ASD) is a heterogeneous neurodevelopmental condition whose genetic and biological architecture converges on a limited set of processes, including synaptic function, gene regulation, chromatin biology, and activity-dependent neurodevelopmental programs (e.g., PMID: 31981491). At the tissue level, postmortem cortical transcriptomic studies have repeatedly reported coordinated neuronal, synaptic, glial, and immune dysregulation in ASD brain tissue (e.g., PMID: 21614001; PMID: 27919067; PMID: 36323788). These findings support a model in which ASD biology is better understood as partially shared cellular and developmental programs than as isolated single-gene effects.</w:t>
      </w:r>
    </w:p>
    <w:p>
      <w:r>
        <w:t>Microglia are plausible contributors to this convergent architecture because they participate directly in developmental circuit refinement. Beyond their classical immune roles, microglia regulate synaptic pruning, engulfment of weak or inappropriate inputs, trophic support, and experience-dependent plasticity (e.g., PMID: 18083105; PMID: 21778362; PMID: 22632727; PMID: 24360280; PMID: 29581545). In ASD, this makes microglia relevant not because they are expected to act as a single dominant lesion, but because they sit at an interface between neuronal signaling, cortical homeostasis, and glia-mediated remodeling.</w:t>
      </w:r>
    </w:p>
    <w:p>
      <w:r>
        <w:t>Consistent with that possibility, neuropathological and transcriptomic studies have reported neuroimmune and glial abnormalities in ASD brain tissue, including microglial activation, altered glial spatial organization, and broad immune-related upregulation alongside neuronal/synaptic downregulation (e.g., PMID: 15546155; PMID: 16401547; PMID: 20674603; PMID: 22516109; PMID: 24410870; PMID: 28159644; PMID: 21614001; PMID: 27919067). More recent single-cell and single-nucleus datasets have reinforced that ASD-associated cortical changes are distributed across multiple cell classes rather than confined to a single lineage (e.g., PMID: 31097668; PMID: 32008165). At the same time, high-resolution datasets have also made interpretation harder: when a reclustered microglial object contains multiple subclusters, the biologically relevant question is not simply which cluster looks most disease-associated, but which populations are sufficiently lineage-coherent, donor-supported, and contamination-resistant to sustain conservative disease inference.</w:t>
      </w:r>
    </w:p>
    <w:p>
      <w:r>
        <w:t>This issue is especially important in human postmortem cortex. Microglia are relatively sparse, disease-associated neuronal and glial dysregulation can bleed into the transcriptomic structure of a reclustered microglial compartment, and donor imbalance can easily exaggerate apparent cluster specificity if cell-level observations are overinterpreted. Methodological work has shown that donor-aware strategies, including pseudobulk and mixed-model frameworks, generally outperform naive cell-level case-control testing in multi-subject single-cell analyses (e.g., PMID: 33531494; PMID: 35880426; PMID: 36550119). In this setting, an apparent increase in one cluster may reflect a broader remodeling tendency across retained microglia rather than a diagnosis-enhanced expansion of one sharply discrete subtype.</w:t>
      </w:r>
    </w:p>
    <w:p>
      <w:r>
        <w:t>These concerns have become particularly relevant for ASD cortical microglia because recent atlas-level analyses have described reactive or disease-shifted microglial populations, including reactive microglia enriched in ASD cortex (e.g., PMID: 38781372). Those observations are biologically important, but they do not by themselves resolve whether the relevant signal should be interpreted as a strongly discrete replicated subtype or as a broader program distributed across a retained microglial core. The distinction matters because it changes the level at which reproducibility should be judged: by one-to-one mapped-cluster recovery, or by a more distributed candidate-reference axis that remains detectable across cohorts and modalities.</w:t>
      </w:r>
    </w:p>
    <w:p>
      <w:r>
        <w:t>In the present study, we used a donor-aware, audit-first framework to re-evaluate ASD-associated cortical microglial state structure. Rather than beginning from the assumption that a disease-specific subtype had already been established, we first defined the retained microglial core, then characterized the dominant internal candidate-reference contrast within that compartment, and finally asked how reproducibly the resulting remodeling axis could be detected across independent cohorts and data modalities. This design was meant to answer three linked questions: whether a reproducible candidate-state program could be defined within retained cortical microglia, whether ASD-related effects were better interpreted as broad remodeling rather than discrete subtype expansion, and whether the same candidate-reference axis was supported in cross-cohort single-cell and independent bulk-cortex validation.</w:t>
      </w:r>
    </w:p>
    <w:p>
      <w:r>
        <w:rPr>
          <w:i/>
          <w:sz w:val="20"/>
        </w:rPr>
        <w:t>[Place Figure 1 near here]</w:t>
      </w:r>
    </w:p>
    <w:p>
      <w:pPr>
        <w:pStyle w:val="Heading1"/>
      </w:pPr>
      <w:r>
        <w:t>2. Methods</w:t>
      </w:r>
    </w:p>
    <w:p>
      <w:pPr>
        <w:pStyle w:val="Heading2"/>
      </w:pPr>
      <w:r>
        <w:t>2.1 Study design and datasets</w:t>
      </w:r>
    </w:p>
    <w:p>
      <w:r>
        <w:t>This study used a multi-stage donor-aware design comprising: (i) discovery-space auditing and retained-core state definition in the PsychENCODE cortical microglial object; (ii) donor-level and pseudobulk discovery analyses within the retained core; (iii) cross-cohort validation in the Velmeshev cortical single-nucleus dataset; and (iv) external program-level validation in the Gandal 2022 bulk cortex cohort, followed by leave-one-region-out robustness analysis. Supplementary perturbation-based and transcription-factor-based analyses were retained as mechanistic prioritization layers rather than primary validation evidence.</w:t>
      </w:r>
    </w:p>
    <w:p>
      <w:r>
        <w:t>The discovery cohort was derived from the PsychENCODE cortical single-cell resource. Cross-cohort validation was performed in the Velmeshev cortical single-nucleus ASD dataset. External tissue-level validation used the Gandal 2022 ASD bulk cortex dataset. Cohort characteristics, including case-control counts, brain regions, sequencing modalities, and analysis-stage sample definitions, are summarized in Supplementary Table S1.</w:t>
      </w:r>
    </w:p>
    <w:p>
      <w:pPr>
        <w:pStyle w:val="Heading2"/>
      </w:pPr>
      <w:r>
        <w:t>2.2 Discovery-space auditing and definition of the retained microglial core</w:t>
      </w:r>
    </w:p>
    <w:p>
      <w:r>
        <w:t>The discovery microglial object was not treated as a set of equally credible biological states by default. Instead, we applied an audit-first framework that evaluated each reclustered population for microglial retention, lineage coherence, donor representation, residual background from non-microglial cell classes, and suitability for conservative downstream inference. This step was central to the revised analysis because both reviewers raised concern that the previous subtype-centered narrative overinterpreted a subset of clusters without adequately situating them within the broader microglial landscape.</w:t>
      </w:r>
    </w:p>
    <w:p>
      <w:r>
        <w:t>Based on this audit, only clusters 0 and 2 were carried forward as the retained microglial core. Cluster 2 was provisionally designated as the candidate state because it preserved microglial identity while shifting toward an activation/remodeling-associated transcriptional profile. Cluster 0 was retained as the most appropriate internal comparator and is therefore referred to here as reference-like rather than strictly homeostatic. All downstream disease-association, program-definition, and validation analyses were restricted to this retained core compartment.</w:t>
      </w:r>
    </w:p>
    <w:p>
      <w:r>
        <w:t>The remaining discovery clusters were not assumed to be meaningless; rather, under the current data they were not considered sufficiently stable or interpretable for strong disease-state inference. This conservative restriction was designed to prevent overstatement while preserving the most defensible microglial analytic substrate for downstream analyses.</w:t>
      </w:r>
    </w:p>
    <w:p>
      <w:r>
        <w:rPr>
          <w:i/>
          <w:sz w:val="20"/>
        </w:rPr>
        <w:t>[Place Figure 1 and Supplementary Figure S1 near here]</w:t>
        <w:br/>
        <w:t>[Refer to Supplementary Table S2 for audit metrics and exclusion rationale]</w:t>
      </w:r>
    </w:p>
    <w:p>
      <w:pPr>
        <w:pStyle w:val="Heading2"/>
      </w:pPr>
      <w:r>
        <w:t>2.3 State-defining analyses within the retained core</w:t>
      </w:r>
    </w:p>
    <w:p>
      <w:r>
        <w:t>To define the dominant internal contrast within the retained core, we compared clusters 2 and 0 using donor-aware paired pseudobulk analysis. Cells were grouped by donor and retained-cluster identity, sparse pseudobulk matrices were generated within donor-cluster strata, and donor-cluster combinations not meeting prespecified minimum cell-count requirements were excluded from paired analyses.</w:t>
      </w:r>
    </w:p>
    <w:p>
      <w:r>
        <w:t>Paired differential expression between cluster 2 and cluster 0 was then used to define the candidate-reference axis. Genes enriched in cluster 2 were treated as candidate-state features, whereas genes enriched in cluster 0 were treated as reference-like or neuronal/synaptic-background-associated features. For downstream frozen-state analyses, the top discovery genes from this paired contrast were used to define candidate and reference programs. The finalized gene lists used in subsequent analyses are provided in Supplementary Table S3.</w:t>
      </w:r>
    </w:p>
    <w:p>
      <w:r>
        <w:t>Because reviewer concern centered in part on the risk of conflating state definition with disease association, state-defining analyses were kept distinct from diagnosis models. In other words, this step asked whether the cluster 2 versus cluster 0 contrast was reproducible enough to define a biologically coherent axis, not whether ASD strongly drove donors into cluster 2.</w:t>
      </w:r>
    </w:p>
    <w:p>
      <w:pPr>
        <w:pStyle w:val="Heading2"/>
      </w:pPr>
      <w:r>
        <w:t>2.4 Donor-aware disease-association analyses in the retained core</w:t>
      </w:r>
    </w:p>
    <w:p>
      <w:r>
        <w:t>Disease association was evaluated at two complementary levels. First, we assessed donor-level abundance/composition shifts, including the proportion of cluster 2 cells within the retained core and the log2(cluster 2/cluster 0) ratio. Second, we tested whether ASD intensified the internal cluster 2-minus-cluster 0 contrast itself by donor-paired delta modeling. This distinction was deliberate: abundance shift, transcriptional remodeling, and diagnosis-enhanced internal amplification are not equivalent claims.</w:t>
      </w:r>
    </w:p>
    <w:p>
      <w:r>
        <w:t>To evaluate disease-associated transcriptional remodeling directly, we also performed ASD-versus-control pseudobulk differential expression analyses in pooled retained core microglia and in clusters 0 and 2 separately. This made it possible to distinguish broader retained-core remodeling from a model in which disease signal was confined to cluster 2 alone.</w:t>
      </w:r>
    </w:p>
    <w:p>
      <w:r>
        <w:t>Pseudobulk differential expression used edgeR/limma-voom-style workflows as finalized in the revision pipeline. Sample-level and donor-level comparisons used linear or mixed-effect models appropriate to the data structure. Unless otherwise specified, significance testing was two-sided and multiple-testing correction used the Benjamini-Hochberg procedure.</w:t>
      </w:r>
    </w:p>
    <w:p>
      <w:r>
        <w:rPr>
          <w:i/>
          <w:sz w:val="20"/>
        </w:rPr>
        <w:t>[Place Figure 2, Figure 3, and Figure 4 near here]</w:t>
        <w:br/>
        <w:t>[Refer to Supplementary Tables S4 and S5]</w:t>
      </w:r>
    </w:p>
    <w:p>
      <w:pPr>
        <w:pStyle w:val="Heading2"/>
      </w:pPr>
      <w:r>
        <w:t>2.5 Cross-cohort validation in the Velmeshev single-nucleus dataset</w:t>
      </w:r>
    </w:p>
    <w:p>
      <w:r>
        <w:t>The Velmeshev dataset was used for cross-cohort validation of the discovery-defined candidate-reference axis. Validation microglia were identified within the global single-nucleus object, re-clustered within the microglial compartment, and compared against the discovery-state structure. Reviewer concern about cross-platform wording was addressed by consistently treating both the discovery and validation analyses as single-cell/single-nucleus postmortem transcriptomic analyses rather than framing this step as whole-cell versus nucleus replication.</w:t>
      </w:r>
    </w:p>
    <w:p>
      <w:r>
        <w:t>We first examined mapped-cluster correspondence by comparing validation subclusters with discovery clusters 0 and 2. This descriptive step assessed whether a strongly discrete homologous candidate cluster could be recovered. Because mapped-cluster correspondence proved weak, the primary validation framework shifted from cluster-matching to program-level scoring.</w:t>
      </w:r>
    </w:p>
    <w:p>
      <w:r>
        <w:t>Validation cells were scored using the frozen discovery-derived candidate and reference programs. At the all-microglia level, we calculated candidate-state, reference-like, and candidate-minus-reference scores. We also defined score-based candidate-like and reference-like subsets using the finalized score-thresholding strategy and derived donor/sample-level metrics including candidate proportion, reference proportion, log2(candidate/reference), and candidate-versus-reference shift. The strict shared validation set used for the prespecified primary analyses comprised 11 ASD and 14 control donors. Full metric definitions are provided in Supplementary Table S6.</w:t>
      </w:r>
    </w:p>
    <w:p>
      <w:r>
        <w:t>This score-based design was chosen because it directly addresses the central interpretive question of the revised manuscript: not whether one discrete homologous cluster replicates unchanged across cohorts, but whether the same candidate-reference remodeling axis remains detectable in an independent dataset.</w:t>
      </w:r>
    </w:p>
    <w:p>
      <w:r>
        <w:rPr>
          <w:i/>
          <w:sz w:val="20"/>
        </w:rPr>
        <w:t>[Place Figure 5 and Supplementary Figure S2 near here]</w:t>
      </w:r>
    </w:p>
    <w:p>
      <w:pPr>
        <w:pStyle w:val="Heading2"/>
      </w:pPr>
      <w:r>
        <w:t>2.6 Directional concordance and robustness analyses</w:t>
      </w:r>
    </w:p>
    <w:p>
      <w:r>
        <w:t>To summarize cross-cohort validation at the program level, we evaluated directional concordance across seven prespecified validation metrics: all-microglia candidate-minus-reference score, all-microglia candidate-state score, all-microglia reference-like score, score-defined candidate proportion, score-defined reference proportion, score-defined log2(candidate/reference), and score-defined candidate-versus-reference shift. Expected directions were defined from the discovery-prioritized candidate-reference model.</w:t>
      </w:r>
    </w:p>
    <w:p>
      <w:r>
        <w:t>Global support was summarized using binomial tests and Stouffer aggregation of one-sided directional P values. Robustness was assessed by harmonization sensitivity analysis and leave-one-metric-out analysis. These steps were included because reviewer critique made clear that the revised manuscript had to demonstrate not only directional agreement, but also that the aggregate conclusion was not driven by a single favorable metric.</w:t>
      </w:r>
    </w:p>
    <w:p>
      <w:pPr>
        <w:pStyle w:val="Heading2"/>
      </w:pPr>
      <w:r>
        <w:t>2.7 External bulk-cortex validation in the Gandal 2022 cohort</w:t>
      </w:r>
    </w:p>
    <w:p>
      <w:r>
        <w:t>External validation used the Gandal 2022 bulk cortex dataset. Diagnosis labels were restricted to ASD and control samples, and published normalized expression data and metadata were used to project the frozen discovery-derived candidate and reference programs into independent bulk tissue. Because the Gandal matrix was indexed by Ensembl identifiers, genes were mapped to HGNC symbols prior to scoring. Candidate, reference, and candidate-minus-reference program scores were calculated at the sample level.</w:t>
      </w:r>
    </w:p>
    <w:p>
      <w:r>
        <w:t>Diagnosis effects were estimated using subject-level random-intercept mixed models adjusted for brain region, sequencing batch, sex, ancestry, age, age squared, postmortem interval, and RNA integrity number. These three program scores were treated as prespecified external-support metrics. This framework was chosen specifically to test whether the same discovery-derived remodeling axis remained detectable at the tissue level, not to claim recovery of a discrete microglial cluster in bulk data.</w:t>
      </w:r>
    </w:p>
    <w:p>
      <w:pPr>
        <w:pStyle w:val="Heading2"/>
      </w:pPr>
      <w:r>
        <w:t>2.8 Leave-one-region-out sensitivity analysis</w:t>
      </w:r>
    </w:p>
    <w:p>
      <w:r>
        <w:t>To determine whether the Gandal bulk signal was driven disproportionately by a single cortical region, each region was omitted in turn and the mixed-model analysis was repeated for all three bulk metrics. For every leave-one-region-out iteration, we recorded effect size, standard error, nominal P value, and effect direction. Stability was summarized by sign concordance relative to the full model, the range of effect sizes, and the extent of nominal significance attenuation.</w:t>
      </w:r>
    </w:p>
    <w:p>
      <w:pPr>
        <w:pStyle w:val="Heading2"/>
      </w:pPr>
      <w:r>
        <w:t>2.9 Supplementary mechanistic prioritization analyses</w:t>
      </w:r>
    </w:p>
    <w:p>
      <w:r>
        <w:t>Two additional analysis layers were retained in supplementary figures only. First, perturbation-based prioritization evaluated whether external compound signatures showed inverse relationships to the candidate-reference remodeling axis. Second, transcription-factor-target enrichment summarized convergent upstream regulators of the candidate-oriented remodeling program and pooled ASD-up genes. By design, neither layer was treated as causal proof or therapeutic validation. Instead, they were presented as hypothesis-generating context for future experimental work.</w:t>
      </w:r>
    </w:p>
    <w:p>
      <w:pPr>
        <w:pStyle w:val="Heading2"/>
      </w:pPr>
      <w:r>
        <w:t>2.10 Software, reproducibility, and code availability</w:t>
      </w:r>
    </w:p>
    <w:p>
      <w:r>
        <w:t>Analyses were performed in R using Seurat, Harmony, edgeR, limma, mixed-model frameworks, and the additional packages listed in Supplementary Table S10. In response to reviewer requests for reproducibility, the revised manuscript should be accompanied by a version-controlled analysis repository containing the scripts used to generate the finalized main and supplementary figures, together with environment and session information. At minimum, the code availability statement should specify where the full analysis pipeline can be accessed and should cross-reference Supplementary Table S10 for package versions and key analysis parameters.</w:t>
      </w:r>
    </w:p>
    <w:p>
      <w:pPr>
        <w:pStyle w:val="Heading1"/>
      </w:pPr>
      <w:r>
        <w:t>3. Results</w:t>
      </w:r>
    </w:p>
    <w:p>
      <w:pPr>
        <w:pStyle w:val="Heading2"/>
      </w:pPr>
      <w:r>
        <w:t>3.1 Stringent all-cluster auditing narrows the discovery microglial object to a retained core comprising clusters 0 and 2</w:t>
      </w:r>
    </w:p>
    <w:p>
      <w:r>
        <w:t>We first re-evaluated the discovery microglial object using an audit-first rather than subtype-first framework. This step was necessary because the previous narrative centered strongly on one putative SPP1-positive state without sufficiently demonstrating why the remaining clusters should be interpreted as less informative or less reliable. The revised all-cluster audit instead asked a prior question: which populations were stable and lineage-coherent enough to support conservative downstream inference?</w:t>
      </w:r>
    </w:p>
    <w:p>
      <w:r>
        <w:t>This audit narrowed the discovery microglial space to a retained core comprising clusters 0 and 2. The retained-core restriction was not merely a technical filter; it fundamentally redefined the analytic substrate of the study. Rather than treating all reclustered populations as equally interpretable biological states, subsequent analyses were confined to the subset of clusters that best preserved microglial identity while minimizing residual ambiguity from donor imbalance and non-microglial background. Supplementary Figure S1 provides discovery-cohort context, including donor distribution, descriptive all-cluster composition, audit summary, and lineage-score structure.</w:t>
      </w:r>
    </w:p>
    <w:p>
      <w:r>
        <w:t>This audit outcome directly addresses one of the major reviewer concerns. The remaining clusters may still contain biologically interesting information, but under the current data they were not considered sufficiently stable or interpretable to anchor a strong disease-state claim. Accordingly, the central question of the revised manuscript became not “which visually striking microglial subtype is the ASD subtype,” but “how disease-associated remodeling is distributed within the retained microglial core.”</w:t>
      </w:r>
    </w:p>
    <w:p>
      <w:r>
        <w:rPr>
          <w:i/>
          <w:sz w:val="20"/>
        </w:rPr>
        <w:t>[Place Figure 1 near here]</w:t>
      </w:r>
    </w:p>
    <w:p>
      <w:pPr>
        <w:pStyle w:val="Heading2"/>
      </w:pPr>
      <w:r>
        <w:t>3.2 Donor-level retained-core analyses support a modest ASD shift toward the candidate side</w:t>
      </w:r>
    </w:p>
    <w:p>
      <w:r>
        <w:t>Within the retained core, the dominant internal contrast separated cluster 2 from cluster 0. Cluster 2 preserved microglial identity while shifting toward activation/remodeling-associated genes, whereas cluster 0 was more suitable as a reference-like comparator but carried stronger neuronal/synaptic background. Representative program genes distinguishing these retained clusters are shown in Figure 2A, and the frozen candidate and reference programs are listed in Supplementary Table S3.</w:t>
      </w:r>
    </w:p>
    <w:p>
      <w:r>
        <w:t>When we examined retained-core scores and donor-level metrics, ASD samples showed a modest shift toward the candidate side. Donor-level candidate-minus-reference values were higher in ASD, and composition-based metrics likewise shifted in the same direction, including higher cluster 2 proportion and higher log2(cluster 2/cluster 0). Cell-level score plots are shown only as descriptive context; the primary inferential level in the revised manuscript is the donor level, consistent with reviewer requests to avoid pseudoreplication.</w:t>
      </w:r>
    </w:p>
    <w:p>
      <w:r>
        <w:t>The key conclusion of this section is deliberately restrained. Figure 2 supports a donor-level ASD shift toward the candidate side of the retained core, but it does not by itself establish a strongly discrete disease-specific subtype. Rather, it shows that the retained-core architecture contains an interpretable candidate-reference axis along which ASD donors trend in the expected direction.</w:t>
      </w:r>
    </w:p>
    <w:p>
      <w:r>
        <w:rPr>
          <w:i/>
          <w:sz w:val="20"/>
        </w:rPr>
        <w:t>[Place Figure 2 near here]</w:t>
      </w:r>
    </w:p>
    <w:p>
      <w:pPr>
        <w:pStyle w:val="Heading2"/>
      </w:pPr>
      <w:r>
        <w:t>3.3 Discovery-stage donor-aware analyses support modest cluster 2 enrichment but not robust diagnosis-enhanced internal state amplification</w:t>
      </w:r>
    </w:p>
    <w:p>
      <w:r>
        <w:t>We next asked whether ASD not only shifted retained-core composition, but also enhanced the internal cluster 2-minus-cluster 0 contrast itself. Donor-level abundance/composition analyses supported a modest upward shift of cluster 2 representation in ASD and a corresponding increase in the relative cluster 2/cluster 0 balance. However, the donor-paired delta model did not support robust diagnosis-enhanced internal state amplification.</w:t>
      </w:r>
    </w:p>
    <w:p>
      <w:r>
        <w:t>This distinction is central to the revised interpretation. Discovery-stage evidence supports modest cluster 2 enrichment and modest shift toward the candidate side, but does not support a stronger claim that ASD robustly intensifies the internal candidate-reference contrast within donors. In other words, the disease signal is not best described as a dramatic donor-level transition into one sharply discrete cluster.</w:t>
      </w:r>
    </w:p>
    <w:p>
      <w:r>
        <w:t>By separating abundance/composition from internal amplification, Figure 3 resolves an ambiguity that contributed to earlier overstatement. The discovery cohort does contain a candidate-oriented disease signal, but the strongest defensible version of that claim is modest enrichment rather than robust internal amplification.</w:t>
      </w:r>
    </w:p>
    <w:p>
      <w:r>
        <w:rPr>
          <w:i/>
          <w:sz w:val="20"/>
        </w:rPr>
        <w:t>[Place Figure 3 near here]</w:t>
      </w:r>
    </w:p>
    <w:p>
      <w:pPr>
        <w:pStyle w:val="Heading2"/>
      </w:pPr>
      <w:r>
        <w:t>3.4 ASD-associated transcriptional remodeling is detectable across the retained microglial core rather than being confined to cluster 2</w:t>
      </w:r>
    </w:p>
    <w:p>
      <w:r>
        <w:t>Although donor-paired delta modeling did not support robust diagnosis-enhanced internal amplification, pseudobulk analyses showed that retained microglia were not transcriptionally static in ASD. In pooled retained-core microglia, ASD-control differential expression identified a remodeling-associated disease signal involving SPP1 and additional genes linked to myeloid activation, lipid handling, stress adaptation, and inflammatory response.</w:t>
      </w:r>
    </w:p>
    <w:p>
      <w:r>
        <w:t>Importantly, this signal was not restricted to cluster 2. Cluster 0 also carried ASD-associated remodeling, and cluster 2 likewise retained disease-associated expression changes. Thus, the core disease signal was broader than a model in which pathology resided exclusively in a single candidate cluster. Rather, ASD-associated remodeling was detectable across the retained core, with cluster 2 carrying a coherent candidate-oriented context but not monopolizing the disease signal.</w:t>
      </w:r>
    </w:p>
    <w:p>
      <w:r>
        <w:t>This section is the conceptual turning point of the manuscript. Once disease-associated transcriptional remodeling is shown to extend across pooled retained microglia and both retained clusters, the interpretation necessarily shifts away from a discrete-subtype narrative and toward broad retained-core remodeling. SPP1 remains biologically relevant in this context, but it no longer serves as sufficient evidence for a unique disease-specific subtype because it is upregulated across the retained core rather than exclusively in cluster 2.</w:t>
      </w:r>
    </w:p>
    <w:p>
      <w:r>
        <w:rPr>
          <w:i/>
          <w:sz w:val="20"/>
        </w:rPr>
        <w:t>[Place Figure 4 near here]</w:t>
        <w:br/>
        <w:t>[Refer to Supplementary Tables S4 and S5]</w:t>
      </w:r>
    </w:p>
    <w:p>
      <w:pPr>
        <w:pStyle w:val="Heading2"/>
      </w:pPr>
      <w:r>
        <w:t>3.5 Cross-cohort validation shows weak mapped-cluster replication but concordant score-based program-level support</w:t>
      </w:r>
    </w:p>
    <w:p>
      <w:r>
        <w:t>Cross-cohort validation in the Velmeshev dataset further clarified the level at which the candidate-reference signal is reproducible. Validation subclusters correlated with both discovery clusters 0 and 2, but differential preference for discovery cluster 2 was weak. The maximum correlation delta favoring cluster 2 over cluster 0 was small, and no validation subcluster emerged as a strongly discrete homologous candidate cluster.</w:t>
      </w:r>
    </w:p>
    <w:p>
      <w:r>
        <w:t>This negative result is not incidental; it directly constrains the revised claim. The data do not support a model in which the discovery candidate state replicates across cohorts as a strongly discrete one-to-one mapped cluster. That is why mapped-cluster correspondence was not treated as the primary validation endpoint in the revised manuscript.</w:t>
      </w:r>
    </w:p>
    <w:p>
      <w:r>
        <w:t>Instead, we moved to score-based validation using frozen discovery-derived candidate and reference programs. Within the strict shared validation set (11 ASD and 14 control donors), all seven prespecified metrics shifted in the expected direction. The strongest nominal support was observed for score-defined candidate proportion (beta = 0.1768, nominal P = 0.0367), whereas all-microglia candidate-state score (beta = 0.0755, nominal P = 0.0593), all-microglia candidate-minus-reference score (beta = 0.1058, nominal P = 0.0897), and log2(candidate/reference) ratio (beta = 2.419, nominal P = 0.0772) showed trend-level support in the same direction. Candidate-versus-reference shift did not provide strong individual support, but it remained directionally aligned with the discovery-prioritized expectation.</w:t>
      </w:r>
    </w:p>
    <w:p>
      <w:r>
        <w:t>Most importantly, aggregate directional support was strong and unlikely to be random: 7/7 metrics matched directionally, with one-sided binomial P = 0.0078 and one-sided Stouffer P = 5.36 × 10^-5. This aggregate conclusion remained stable under harmonization sensitivity and leave-one-metric-out analysis. Taken together, Figure 5 supports weak mapped-cluster replication but coherent score-based program-level support.</w:t>
      </w:r>
    </w:p>
    <w:p>
      <w:r>
        <w:rPr>
          <w:i/>
          <w:sz w:val="20"/>
        </w:rPr>
        <w:t>[Place Figure 5 and Supplementary Figure S2 near here]</w:t>
        <w:br/>
        <w:t>[Refer to Supplementary Tables S6 and S7]</w:t>
      </w:r>
    </w:p>
    <w:p>
      <w:pPr>
        <w:pStyle w:val="Heading2"/>
      </w:pPr>
      <w:r>
        <w:t>3.6 Independent bulk-cortex validation in the Gandal 2022 cohort supports the same candidate-reference remodeling axis</w:t>
      </w:r>
    </w:p>
    <w:p>
      <w:r>
        <w:t>We next asked whether the same frozen discovery-derived candidate-reference axis could be detected in independent bulk cortex. This was an especially stringent test of the revised interpretation because bulk data cannot resolve a discrete microglial subtype. If the discovery result truly depended on one sharply bounded cluster, it should weaken substantially when projected into bulk tissue. If, however, it reflected a broader retained-core remodeling axis, a program-level bulk signal should remain detectable.</w:t>
      </w:r>
    </w:p>
    <w:p>
      <w:r>
        <w:t>The bulk results supported the latter interpretation. In the Gandal 2022 cohort, ASD samples showed a higher candidate-program score (beta = 0.185, P = 0.0051, FDR = 0.0077), a lower reference-program score (beta = -0.231, P = 0.0226, FDR = 0.0226), and a higher candidate-minus-reference score (beta = 0.415, P = 0.0029, FDR = 0.0077). Thus, all three prespecified bulk readouts shifted in the expected direction and remained significant after multiple-testing correction.</w:t>
      </w:r>
    </w:p>
    <w:p>
      <w:r>
        <w:t>Leave-one-region-out sensitivity analysis across 11 cortical regions showed complete directional stability for all three bulk metrics. Candidate-program effects remained positive in every iteration (beta range 0.1721-0.2109; P range 0.0032-0.0133), reference-program effects remained negative throughout (beta range -0.2553 to -0.1804; P range 0.0119-0.0647), and candidate-minus-reference effects remained positive in all models (beta range 0.3469-0.4466; P range 0.0017-0.0124). These analyses indicate that the external bulk signal was not driven by any single cortical region.</w:t>
      </w:r>
    </w:p>
    <w:p>
      <w:r>
        <w:t>The importance of Figure 6 is therefore not that it “proves” a microglial subtype in bulk tissue; it cannot do that. Its importance is that it provides independent tissue-level support for the same candidate-reference remodeling axis detected in the retained-core single-cell analyses.</w:t>
      </w:r>
    </w:p>
    <w:p>
      <w:r>
        <w:rPr>
          <w:i/>
          <w:sz w:val="20"/>
        </w:rPr>
        <w:t>[Place Figure 6 near here]</w:t>
        <w:br/>
        <w:t>[Refer to Supplementary Tables S8 and S9]</w:t>
      </w:r>
    </w:p>
    <w:p>
      <w:pPr>
        <w:pStyle w:val="Heading2"/>
      </w:pPr>
      <w:r>
        <w:t>3.7 Supplementary mechanistic prioritization layers highlight convergent perturbation and transcription-factor signals without establishing causality</w:t>
      </w:r>
    </w:p>
    <w:p>
      <w:r>
        <w:t>Two supplementary analysis layers were used to provide mechanistic context rather than primary evidence. First, perturbation-based prioritization identified candidate reversal signals linked to the candidate-reference remodeling axis, with MAPK/BRAF-related signals among the more notable primary hits. Second, TF-target enrichment prioritized convergent regulators shared between the candidate program and pooled ASD-up genes. These results are summarized in Supplementary Figures S3 and S4.</w:t>
      </w:r>
    </w:p>
    <w:p>
      <w:r>
        <w:t>The interpretive status of these layers is intentionally limited. They should be read as mechanistic and translational prioritization rather than drug-reversal proof or causal transcriptional inference. Their value is in highlighting convergent external perturbation and regulatory space that is compatible with the candidate-oriented remodeling program and may guide subsequent experimental work.</w:t>
      </w:r>
    </w:p>
    <w:p>
      <w:pPr>
        <w:pStyle w:val="Heading1"/>
      </w:pPr>
      <w:r>
        <w:t>4. Discussion</w:t>
      </w:r>
    </w:p>
    <w:p>
      <w:r>
        <w:t>The revised analyses support a more constrained but also more defensible interpretation of ASD cortical microglia than the original subtype-centered narrative. The most reproducible signal in these data is not a strongly discrete disease-specific SPP1-positive subtype that replicates cleanly across cohorts, but broad ASD-associated remodeling within a retained microglial core that includes a reproducible but non-discrete candidate-reference program. This interpretation is supported simultaneously by the discovery-stage audit, the donor-level retained-core analyses, the absence of robust diagnosis-enhanced internal amplification, the presence of retained-core-wide pseudobulk remodeling, the weak mapped-cluster replication in Velmeshev, and the program-level concordance observed in both single-cell and independent bulk-cortex validation.</w:t>
      </w:r>
    </w:p>
    <w:p>
      <w:r>
        <w:t>A first implication is that state reproducibility and disease association must be treated as related but distinct questions. The cluster 2 versus cluster 0 contrast was reproducible enough to support state definition and frozen-program derivation. That does not mean ASD robustly drives donors into cluster 2 as a discrete disease-specific compartment. The present data support the existence of a candidate-oriented axis, and they support disease association with that axis, but they do not support a categorical claim of strong diagnosis-enhanced internal state amplification. Keeping these questions separate avoids analytical slippage from “the state exists” to “the disease specifically expands the state.”</w:t>
      </w:r>
    </w:p>
    <w:p>
      <w:r>
        <w:t>A second implication is that disease-associated remodeling in ASD cortex is broader than cluster 2 alone. The pooled retained-core pseudobulk signal and the separate cluster 0 and cluster 2 disease contrasts show that ASD-associated transcriptional change is detectable across retained microglia. This matters because it shifts the center of gravity of the manuscript away from a cluster-specific story and toward a retained-core story. Cluster 2 remains biologically informative because it provides a coherent candidate-oriented expression context, but it does not monopolize the disease signal. That broader framing is more compatible with the wider ASD transcriptomic literature, in which glial and immune changes coexist with extensive neuronal and synaptic dysregulation rather than forming a fully isolated disease axis.</w:t>
      </w:r>
    </w:p>
    <w:p>
      <w:r>
        <w:t>A third implication concerns how individual remodeling genes, including SPP1, should now be interpreted. SPP1 remains biologically relevant: it is repeatedly upregulated in the retained-core analyses and remains part of the remodeling landscape. However, the revised data do not support SPP1 as a unique state-defining anchor. It is better understood as one prominent component of a broader ASD-associated remodeling program. For that reason, the manuscript no longer needs a discussion heading centered on “SPP1 as the anchor of the state.” A broader heading is more appropriate, and SPP1 can be discussed within that section as one important remodeling gene rather than the defining identity marker of the entire claim.</w:t>
      </w:r>
    </w:p>
    <w:p>
      <w:r>
        <w:t>The validation results further strengthen the program-level interpretation. In the Velmeshev dataset, mapped-cluster replication was weak, which argues against a one-to-one discrete-cluster model. But weak mapped-cluster replication did not mean the biological signal disappeared. Once the analysis was reframed around frozen candidate-reference programs, all seven prespecified metrics shifted in the expected direction, and the aggregate directional signal was strong. This is precisely the pattern one would expect if the cross-cohortly reproducible feature were a distributed state axis rather than a rigid cluster label.</w:t>
      </w:r>
    </w:p>
    <w:p>
      <w:r>
        <w:t>The independent Gandal bulk cortex analyses extend that argument. Bulk tissue cannot validate a discrete microglial subtype, but it can validate a distributed disease-associated program. The fact that the candidate-reference axis remained significant and leave-one-region-out stable in Gandal therefore provides independent support at the biologically appropriate level. This is one of the strongest aspects of the revised manuscript: external validation now reinforces the same interpretive level as the single-cell work instead of being forced into a subtype-replication framework that bulk tissue cannot support.</w:t>
      </w:r>
    </w:p>
    <w:p>
      <w:r>
        <w:t>The revised discussion also provides a more coherent way to situate the many non-retained discovery clusters. We do not interpret those clusters as necessarily artifactual or irrelevant. Instead, the audit-first framework treats them as populations whose biological status cannot be resolved strongly enough, under the present data, to support confident disease-state inference. This is a pragmatic rather than dismissive stance. In human postmortem microglial analyses, finer substructure may reflect a mixture of true heterogeneity, donor imbalance, residual background, and technical fragmentation. The decision to narrow the primary inference to the retained core was therefore an interpretive safeguard rather than a claim that the rest of the landscape is biologically empty.</w:t>
      </w:r>
    </w:p>
    <w:p>
      <w:r>
        <w:t>Several limitations deserve emphasis. First, this study is based on postmortem transcriptomic data and computational state inference. The analyses support a reproducible candidate-reference remodeling axis, but they do not establish direct causal mechanisms. Second, validation was performed in a single-nucleus dataset, and nucleus-based assays may undersample some activation-associated microglial transcripts. This likely reduces resolution for recovering a sharply discrete activation-like cluster and may partially explain why mapped-cluster replication was weaker than program-level support. Third, the bulk-cortex results provide tissue-level corroboration of the same axis, but bulk data cannot localize the signal to a single microglial subpopulation. Fourth, the perturbation and TF-prioritization layers are explicitly hypothesis-generating and should not be read as proof of drug reversal or causal regulatory control.</w:t>
      </w:r>
    </w:p>
    <w:p>
      <w:r>
        <w:t>Overall, the revised manuscript supports a model of broad ASD-associated microglial remodeling that includes a reproducible but non-discrete candidate-reference program within a retained microglial core. This interpretation is more conservative than a disease-specific subtype model, but it is also more stable across discovery, validation, and external bulk-cortex analyses. Future work should test this candidate-reference remodeling axis experimentally, determine how it relates to synaptic and neuronal pathology across developmental windows, and assess whether the supplementary mechanistic prioritization signals can be linked to causal microglial remodeling in model systems.</w:t>
      </w:r>
    </w:p>
    <w:p>
      <w:pPr>
        <w:pStyle w:val="Heading1"/>
      </w:pPr>
      <w:r>
        <w:t>5. Conclusions</w:t>
      </w:r>
    </w:p>
    <w:p>
      <w:r>
        <w:t>ASD cortical microglial alterations are most consistently explained by broad retained-core remodeling rather than by a strongly discrete replicated subtype. Within the retained microglial core, a candidate-oriented program can be reproducibly defined and shows concordant score-based support across cohorts together with independent bulk-cortex validation. The most defensible synthesis of these data is therefore broad ASD-associated microglial remodeling with a reproducible but non-discrete candidate-reference axis.</w:t>
      </w:r>
    </w:p>
    <w:p>
      <w:pPr>
        <w:pStyle w:val="Heading1"/>
      </w:pPr>
      <w:r>
        <w:t>Abbreviations</w:t>
      </w:r>
    </w:p>
    <w:p>
      <w:r>
        <w:t>ASD, autism spectrum disorder</w:t>
        <w:br/>
        <w:t>DE, differential expression</w:t>
        <w:br/>
        <w:t>FDR, false discovery rate</w:t>
        <w:br/>
        <w:t>PMI, postmortem interval</w:t>
        <w:br/>
        <w:t>QC, quality control</w:t>
        <w:br/>
        <w:t>RIN, RNA integrity number</w:t>
        <w:br/>
        <w:t>UMAP, Uniform Manifold Approximation and Projection</w:t>
      </w:r>
    </w:p>
    <w:p>
      <w:pPr>
        <w:pStyle w:val="Heading1"/>
      </w:pPr>
      <w:r>
        <w:t>Data availability</w:t>
      </w:r>
    </w:p>
    <w:p>
      <w:r>
        <w:t>All primary datasets analyzed in this study are publicly available from their original sources. Dataset accession details and cohort summaries are provided in Supplementary Table S1.</w:t>
      </w:r>
    </w:p>
    <w:p>
      <w:pPr>
        <w:pStyle w:val="Heading1"/>
      </w:pPr>
      <w:r>
        <w:t>Code availability</w:t>
      </w:r>
    </w:p>
    <w:p>
      <w:r>
        <w:t>The revised submission should be accompanied by a version-controlled repository containing the full analysis pipeline used to generate Figures 1-6 and Supplementary Figures S1-S4, together with environment information summarized in Supplementary Table S10.</w:t>
      </w:r>
    </w:p>
    <w:p>
      <w:pPr>
        <w:pStyle w:val="Heading1"/>
      </w:pPr>
      <w:r>
        <w:t>Figure and supplementary item cross-reference checklist</w:t>
      </w:r>
    </w:p>
    <w:p>
      <w:r>
        <w:t>Main figures: Figure 1-Figure 6</w:t>
        <w:br/>
        <w:t>Supplementary figures: Supplementary Figure S1-Supplementary Figure S4</w:t>
        <w:br/>
        <w:t>Supplementary tables: Supplementary Table S1-Supplementary Table S10</w:t>
        <w:br/>
        <w:t>Legacy numbering to remove globally: old Supplementary Figure S10 -&gt; Supplementary Figure S3; old Supplementary Figure S11 -&gt; Supplementary Figure S4</w:t>
      </w:r>
    </w:p>
    <w:p>
      <w:pPr>
        <w:pStyle w:val="Heading1"/>
      </w:pPr>
      <w:r>
        <w:t>Revision-facing notes</w:t>
      </w:r>
    </w:p>
    <w:p>
      <w:pPr>
        <w:ind w:left="288" w:hanging="288"/>
      </w:pPr>
      <w:r>
        <w:rPr>
          <w:b/>
        </w:rPr>
        <w:t xml:space="preserve">• </w:t>
      </w:r>
      <w:r>
        <w:t>This rewrite removes the old disease-specific SPP1+ subtype framing and consistently uses retained microglial core, candidate state, reference-like state, candidate-reference remodeling axis, weak mapped-cluster replication, score-based validation, and external bulk-cortex concordance.</w:t>
      </w:r>
    </w:p>
    <w:p>
      <w:pPr>
        <w:ind w:left="288" w:hanging="288"/>
      </w:pPr>
      <w:r>
        <w:rPr>
          <w:b/>
        </w:rPr>
        <w:t xml:space="preserve">• </w:t>
      </w:r>
      <w:r>
        <w:t>The old discussion heading centered on SPP1 should be replaced. In this draft, SPP1 is discussed inside the broader remodeling interpretation rather than as a state-defining anchor.</w:t>
      </w:r>
    </w:p>
    <w:p>
      <w:pPr>
        <w:ind w:left="288" w:hanging="288"/>
      </w:pPr>
      <w:r>
        <w:rPr>
          <w:b/>
        </w:rPr>
        <w:t xml:space="preserve">• </w:t>
      </w:r>
      <w:r>
        <w:t>Before resubmission, the manuscript should be paired with a public or reviewer-accessible version-controlled code repository, since this remained a major reviewer request.</w:t>
      </w:r>
    </w:p>
    <w:p>
      <w:pPr>
        <w:ind w:left="288" w:hanging="288"/>
      </w:pPr>
      <w:r>
        <w:rPr>
          <w:b/>
        </w:rPr>
        <w:t xml:space="preserve">• </w:t>
      </w:r>
      <w:r>
        <w:t>Methods should be synchronized against the exact finalized scripts before submission so that cluster-resolution parameters, QC thresholds, sample definitions, and package versions in Supplementary Table S10 match the executed pipeline exactly.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