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Broad cortical microglial remodeling in autism spectrum disorder converges on a reproducible but non-discrete candidate/reference axis</w:t>
      </w:r>
    </w:p>
    <w:p>
      <w:pPr>
        <w:spacing w:after="40"/>
        <w:jc w:val="center"/>
      </w:pPr>
      <w:r>
        <w:rPr>
          <w:b w:val="0"/>
          <w:i w:val="0"/>
        </w:rPr>
        <w:t>Aojie Lian1,2,*; Yingmei Yang3; Yizheng Jiang1,4; Yiping Liu1; Mei He1</w:t>
      </w:r>
    </w:p>
    <w:p>
      <w:pPr>
        <w:spacing w:after="40"/>
        <w:jc w:val="center"/>
      </w:pPr>
      <w:r>
        <w:rPr>
          <w:b w:val="0"/>
          <w:i w:val="0"/>
        </w:rPr>
        <w:t>1 NHC Key Laboratory of Birth Defect for Research and Prevention, Hunan Provincial Maternal and Child Health Care Hospital, Changsha, Hunan, China</w:t>
      </w:r>
    </w:p>
    <w:p>
      <w:pPr>
        <w:spacing w:after="40"/>
        <w:jc w:val="center"/>
      </w:pPr>
      <w:r>
        <w:rPr>
          <w:b w:val="0"/>
          <w:i w:val="0"/>
        </w:rPr>
        <w:t>2 Hunan Provincial University Key Laboratory of the Fundamental and Clinical Research on Neurodegenerative Diseases, Changsha Medical University, Changsha, Hunan, China</w:t>
      </w:r>
    </w:p>
    <w:p>
      <w:pPr>
        <w:spacing w:after="40"/>
        <w:jc w:val="center"/>
      </w:pPr>
      <w:r>
        <w:rPr>
          <w:b w:val="0"/>
          <w:i w:val="0"/>
        </w:rPr>
        <w:t>3 The Third Xiangya Hospital of Central South University, Changsha, Hunan, China</w:t>
      </w:r>
    </w:p>
    <w:p>
      <w:pPr>
        <w:spacing w:after="40"/>
        <w:jc w:val="center"/>
      </w:pPr>
      <w:r>
        <w:rPr>
          <w:b w:val="0"/>
          <w:i w:val="0"/>
        </w:rPr>
        <w:t>4 School of Life Sciences, Central South University, Changsha, Hunan, China</w:t>
      </w:r>
    </w:p>
    <w:p>
      <w:pPr>
        <w:spacing w:after="40"/>
        <w:jc w:val="center"/>
      </w:pPr>
      <w:r>
        <w:rPr>
          <w:b w:val="0"/>
          <w:i w:val="0"/>
        </w:rPr>
        <w:t>*Correspondence: Aojie Lian, Aojielian@gmail.com</w:t>
      </w:r>
    </w:p>
    <w:p>
      <w:pPr>
        <w:spacing w:after="40"/>
        <w:jc w:val="center"/>
      </w:pPr>
      <w:r>
        <w:rPr>
          <w:b w:val="0"/>
          <w:i w:val="0"/>
        </w:rPr>
        <w:t>ORCID identifiers can be added after author names for authors with available identifiers before submission.</w:t>
      </w:r>
    </w:p>
    <w:p>
      <w:pPr>
        <w:spacing w:after="40"/>
        <w:jc w:val="center"/>
      </w:pPr>
      <w:r>
        <w:rPr>
          <w:b w:val="0"/>
          <w:i w:val="0"/>
        </w:rPr>
        <w:t>Main manuscript for separate figure upload; all figures and tables are cited directly in the text, and full main-figure legends are provided at the end of this document.</w:t>
      </w:r>
    </w:p>
    <w:p>
      <w:r>
        <w:rPr>
          <w:b/>
        </w:rPr>
        <w:t>Background:</w:t>
      </w:r>
      <w:r>
        <w:t xml:space="preserve"> Microglial abnormalities have been repeatedly implicated in autism spectrum disorder (ASD), but it remains unresolved whether cortical microglial alterations are better interpreted as sharply bounded disease-specific subtypes or as broader remodeling within a retained microglial compartment.</w:t>
      </w:r>
    </w:p>
    <w:p>
      <w:r>
        <w:rPr>
          <w:b/>
        </w:rPr>
        <w:t>Methods:</w:t>
      </w:r>
      <w:r>
        <w:t xml:space="preserve"> We used a donor-aware, multi-stage framework that integrated discovery-stage state definition, cross-cohort single-nucleus validation, and independent external bulk-cortex validation. In the PsychENCODE/Wamsley discovery resource, we first applied stringent all-cluster auditing to the reclustered microglial space and restricted downstream inference to a retained microglial core. We then quantified donor-level abundance and composition shifts, tested diagnosis-enhanced internal state amplification using donor-paired modeling, and performed pseudobulk differential expression analyses in pooled retained microglia and in each retained cluster separately. Cross-cohort validation in the Velmeshev dataset used frozen discovery-derived candidate and reference programs together with seven prespecified score-based metrics. External validation in the Gandal 2022 bulk cortex cohort projected the same frozen programs into independent cortical tissue and assessed robustness by leave-one-region-out sensitivity analysis. Supplementary perturbation-based and transcription factor-prioritization analyses were retained only as mechanistic context.</w:t>
      </w:r>
    </w:p>
    <w:p>
      <w:r>
        <w:rPr>
          <w:b/>
        </w:rPr>
        <w:t>Results:</w:t>
      </w:r>
      <w:r>
        <w:t xml:space="preserve"> Stringent auditing narrowed the discovery microglial object to a retained core comprising clusters 0 and 2. Within this retained core, cluster 2 was best interpreted as a microglia-retaining, activation/remodeling-shifted candidate state, whereas cluster 0 served as the most appropriate reference-like comparator but carried stronger neuronal/synaptic background. Discovery-stage donor-aware analyses supported only a modest shift toward the candidate side in ASD and did not support robust diagnosis-enhanced internal state amplification. In contrast, pseudobulk analyses showed that ASD-associated transcriptional remodeling was detectable across the retained core and was not confined to cluster 2. In the Velmeshev cohort, mapped-cluster replication was weak, but all seven harmonized score-based validation metrics were directionally concordant with the discovery-prioritized expectation (7/7 matched; one-sided binomial P = 0.0078; one-sided Stouffer P = 5.36 x 10^-5). In the independent Gandal 2022 bulk cortex dataset, ASD samples showed a higher candidate-program score (beta = 0.185, P = 0.0051, FDR = 0.0077), a lower reference-program score (beta = -0.231, P = 0.0226, FDR = 0.0226), and a higher candidate-minus-reference composite score (beta = 0.415, P = 0.0029, FDR = 0.0077). These bulk effects remained directionally stable across leave-one-region-out analyses of 11 cortical regions.</w:t>
      </w:r>
    </w:p>
    <w:p>
      <w:r>
        <w:rPr>
          <w:b/>
        </w:rPr>
        <w:t>Limitations:</w:t>
      </w:r>
      <w:r>
        <w:t xml:space="preserve"> This study is based on postmortem transcriptomic datasets and computational state inference. The data support a reproducible candidate/reference remodeling axis, but they do not establish a sharply discrete disease-specific microglial subtype, direct causal mechanisms, or therapeutic efficacy of any prioritized perturbation or transcription factor.</w:t>
      </w:r>
    </w:p>
    <w:p>
      <w:r>
        <w:rPr>
          <w:b/>
        </w:rPr>
        <w:t>Conclusions:</w:t>
      </w:r>
      <w:r>
        <w:t xml:space="preserve"> ASD cortical microglial alterations are most consistently explained by broad disease-associated remodeling that includes a reproducible but non-discrete candidate/reference program, rather than by a strongly discrete replicated subtype. Cross-cohort single-nucleus analyses and independent bulk-cortex validation converge on the same retained-core remodeling axis.</w:t>
      </w:r>
    </w:p>
    <w:p>
      <w:r>
        <w:rPr>
          <w:b/>
        </w:rPr>
        <w:t>Keywords:</w:t>
      </w:r>
      <w:r>
        <w:t xml:space="preserve"> autism spectrum disorder; bulk cortex; candidate/reference program; donor-aware analysis; microglia; pseudobulk; single-nucleus RNA sequencing</w:t>
      </w:r>
    </w:p>
    <w:p>
      <w:pPr>
        <w:pStyle w:val="Heading1"/>
      </w:pPr>
      <w:r>
        <w:rPr>
          <w:b w:val="0"/>
          <w:i w:val="0"/>
        </w:rPr>
        <w:t>Introduction</w:t>
      </w:r>
    </w:p>
    <w:p>
      <w:pPr/>
      <w:r>
        <w:rPr>
          <w:b w:val="0"/>
          <w:i w:val="0"/>
        </w:rPr>
        <w:t>Autism spectrum disorder is a heterogeneous neurodevelopmental condition whose genetic architecture converges on a limited set of biological themes, including synaptic function, gene regulation, chromatin biology, and activity-dependent neurodevelopmental programs [17]. At the tissue level, postmortem cortical transcriptomic studies have repeatedly identified coordinated dysregulation of neuronal, synaptic, glial, and immune-related pathways in ASD brain tissue [9, 10, 18]. Together, these findings argue that ASD biology is better understood through partially shared cellular and developmental programs than as a collection of isolated single-gene effects.</w:t>
      </w:r>
    </w:p>
    <w:p>
      <w:pPr/>
      <w:r>
        <w:rPr>
          <w:b w:val="0"/>
          <w:i w:val="0"/>
        </w:rPr>
        <w:t>Microglia are plausible contributors to this convergent architecture because they participate directly in developmental circuit refinement. Beyond classical immune surveillance, microglia regulate synaptic pruning, engulfment of weak or inappropriate inputs, trophic support, and experience-dependent plasticity [3-6, 33]. In ASD, this makes microglia relevant not because they are expected to act as a single dominant lesion, but because they sit at an interface between neuronal signaling, cortical homeostasis, and glia-mediated remodeling.</w:t>
      </w:r>
    </w:p>
    <w:p>
      <w:pPr/>
      <w:r>
        <w:rPr>
          <w:b w:val="0"/>
          <w:i w:val="0"/>
        </w:rPr>
        <w:t>Consistent with that possibility, neuropathological and transcriptomic studies have reported neuroimmune and glial abnormalities in ASD cortex, including increased microglial activation, altered glial spatial organization, and broad immune-related upregulation alongside neuronal and synaptic downregulation [7-10]. More recent single-cell and single-nucleus datasets have reinforced that ASD-associated cortical changes are distributed across multiple cell classes rather than confined to a single lineage-specific lesion [18-21]. At the same time, higher-resolution profiling has made interpretation harder: when a reclustered microglial object contains multiple subclusters, the biologically relevant question is not simply which cluster looks most disease-associated, but which populations are sufficiently lineage-coherent, donor-supported, and contamination-resistant to sustain conservative disease inference.</w:t>
      </w:r>
    </w:p>
    <w:p>
      <w:pPr/>
      <w:r>
        <w:rPr>
          <w:b w:val="0"/>
          <w:i w:val="0"/>
        </w:rPr>
        <w:t>This issue is especially important in human postmortem cortex. Microglia are relatively sparse, disease-associated neuronal and glial dysregulation can bleed into the transcriptomic structure of a reclustered microglial compartment, and donor imbalance can easily exaggerate apparent cluster specificity if cell-level observations are overinterpreted. In addition, recent ASD cortex work has already described reactive glial states, including an ASD-enriched reactive microglial population in the Wamsley et al. atlas [20]. The key unresolved question is therefore not whether reactive-like microglial signals exist, but at what level they are most reproducibly captured: as a sharply discrete subtype or as a broader candidate/reference remodeling axis embedded within retained cortical microglia.</w:t>
      </w:r>
    </w:p>
    <w:p>
      <w:pPr/>
      <w:r>
        <w:rPr>
          <w:b w:val="0"/>
          <w:i w:val="0"/>
        </w:rPr>
        <w:t>Here, we used a donor-aware, audit-first framework to re-evaluate ASD-associated cortical microglial state structure. Rather than beginning from the assumption that a disease-specific subtype had already been established, we first defined the retained microglial core, then characterized the dominant internal candidate/reference contrast within that compartment, and finally asked how reproducibly the resulting remodeling axis could be detected across independent cohorts and data modalities. This design was intended to answer three linked questions: whether a reproducible candidate-state program could be defined within retained cortical microglia, whether ASD-related effects were better interpreted as broad remodeling rather than discrete subtype expansion, and whether the same candidate/reference axis was supported in cross-cohort single-nucleus and external bulk-cortex analyses. The overall workflow linking discovery-stage auditing, donor-aware retained-core analyses, cross-cohort score-based validation, and external bulk-cortex projection is summarized in Supplementary Figure S5, whereas the retained-core discovery-space audit itself is shown in Figure 1.</w:t>
      </w:r>
    </w:p>
    <w:p>
      <w:pPr>
        <w:pStyle w:val="Heading1"/>
      </w:pPr>
      <w:r>
        <w:rPr>
          <w:b w:val="0"/>
          <w:i w:val="0"/>
        </w:rPr>
        <w:t>Results</w:t>
      </w:r>
    </w:p>
    <w:p>
      <w:pPr>
        <w:pStyle w:val="Heading2"/>
      </w:pPr>
      <w:r>
        <w:rPr>
          <w:b w:val="0"/>
          <w:i w:val="0"/>
        </w:rPr>
        <w:t>1. Discovery all-cluster audit and retained-core definition</w:t>
      </w:r>
    </w:p>
    <w:p>
      <w:pPr/>
      <w:r>
        <w:rPr>
          <w:b w:val="0"/>
          <w:i w:val="0"/>
        </w:rPr>
        <w:t>We first evaluated the discovery microglial object under a stringent audit-first framework to determine which clusters could be retained for conservative downstream interpretation. Rather than treating the reclustered microglial space as a collection of equally credible biological states, we assessed each cluster for microglial retention, lineage coherence, donor representation, and residual non-microglial background. This review narrowed the analysis to a minimal retained core comprising only clusters 0 and 2.</w:t>
      </w:r>
    </w:p>
    <w:p>
      <w:pPr/>
      <w:r>
        <w:rPr>
          <w:b w:val="0"/>
          <w:i w:val="0"/>
        </w:rPr>
        <w:t>Importantly, retention of clusters 0 and 2 did not imply that these two populations were biologically equivalent or equally informative. Instead, they defined the minimal analytic substrate within which the remaining state architecture could be reassessed. Several non-retained clusters showed insufficient microglial support, stronger neuronal or vascular background, sparse donor representation, or other features that made them unsuitable for primary disease inference. This conservative restriction directly addressed the central reviewer concern that the discovery object contained more subclusters than could be interpreted confidently from the available evidence.</w:t>
      </w:r>
    </w:p>
    <w:p>
      <w:pPr/>
      <w:r>
        <w:rPr>
          <w:b w:val="0"/>
          <w:i w:val="0"/>
        </w:rPr>
        <w:t>Within the retained core, cluster 2 preserved microglial identity while shifting toward activation/remodeling-associated genes, whereas cluster 0 served as the most appropriate reference-like comparator but retained stronger neuronal and synaptic background. The retained-core framing therefore replaced the earlier subtype-centered interpretation with a more conservative state-architecture model: a candidate-oriented state embedded within a retained microglial core rather than a single pre-accepted disease-specific cluster.</w:t>
      </w:r>
    </w:p>
    <w:p>
      <w:pPr>
        <w:pStyle w:val="Heading2"/>
      </w:pPr>
      <w:r>
        <w:rPr>
          <w:b w:val="0"/>
          <w:i w:val="0"/>
        </w:rPr>
        <w:t>2. Donor-level retained-core analyses support a modest shift toward the candidate side</w:t>
      </w:r>
    </w:p>
    <w:p>
      <w:pPr/>
      <w:r>
        <w:rPr>
          <w:b w:val="0"/>
          <w:i w:val="0"/>
        </w:rPr>
        <w:t>We next asked whether ASD donors showed evidence of a retained-core shift toward the candidate side. Program genes clearly distinguished the two retained clusters, with cluster 2 showing stronger activation/remodeling-associated features and cluster 0 retaining more reference-like and background-associated signal. At the cell level, candidate-state and candidate-minus-reference scores trended upward in ASD, but these panels were treated only as descriptive background rather than the primary inferential level.</w:t>
      </w:r>
    </w:p>
    <w:p>
      <w:pPr/>
      <w:r>
        <w:rPr>
          <w:b w:val="0"/>
          <w:i w:val="0"/>
        </w:rPr>
        <w:t>At the donor level, ASD samples showed a higher candidate-minus-reference score, a higher cluster 2 proportion within the retained core, and a higher log2(cluster 2/cluster 0) ratio. A direction-aligned summary across prespecified retained-core metrics likewise pointed toward a modest ASD shift toward the cluster 2 side of the retained core. These results supported an ASD-related tendency toward the candidate-oriented arm of the retained-core axis, but they did not by themselves establish a discrete disease-specific subtype.</w:t>
      </w:r>
    </w:p>
    <w:p>
      <w:pPr>
        <w:pStyle w:val="Heading2"/>
      </w:pPr>
      <w:r>
        <w:rPr>
          <w:b w:val="0"/>
          <w:i w:val="0"/>
        </w:rPr>
        <w:t>3. Discovery-stage donor-aware analyses support modest cluster 2 enrichment but not robust diagnosis-enhanced internal state shift</w:t>
      </w:r>
    </w:p>
    <w:p>
      <w:pPr/>
      <w:r>
        <w:rPr>
          <w:b w:val="0"/>
          <w:i w:val="0"/>
        </w:rPr>
        <w:t>We then tested whether the discovery-stage disease signal was better explained by simple abundance and composition shifts or by diagnosis-enhanced amplification of the internal cluster 2 versus cluster 0 state contrast itself. Donor-level analyses supported modest cluster 2 enrichment and a modest upward shift in the relative abundance of cluster 2 compared with cluster 0 in ASD.</w:t>
      </w:r>
    </w:p>
    <w:p>
      <w:pPr/>
      <w:r>
        <w:rPr>
          <w:b w:val="0"/>
          <w:i w:val="0"/>
        </w:rPr>
        <w:t>However, the donor-paired delta model did not support robust diagnosis-enhanced internal state amplification. No genes passed the prespecified false-discovery threshold in the paired cluster 2-minus-cluster 0 ASD-versus-control comparison. This indicated that the discovery-stage signal was more consistent with modest abundance and composition shift than with a strong diagnosis-specific intensification of the internal state contrast itself.</w:t>
      </w:r>
    </w:p>
    <w:p>
      <w:pPr/>
      <w:r>
        <w:rPr>
          <w:b w:val="0"/>
          <w:i w:val="0"/>
        </w:rPr>
        <w:t>Accordingly, the disease relationship in discovery was better interpreted as support for modest cluster 2 enrichment within the retained core, but not for robust diagnosis-enhanced internal state shift. This distinction is important because it prevents interpretive slippage from “the candidate state exists” to “ASD strongly amplifies that state as a discrete subtype.”</w:t>
      </w:r>
    </w:p>
    <w:p>
      <w:pPr>
        <w:pStyle w:val="Heading2"/>
      </w:pPr>
      <w:r>
        <w:rPr>
          <w:b w:val="0"/>
          <w:i w:val="0"/>
        </w:rPr>
        <w:t>4. ASD-associated transcriptional remodeling is detectable across the retained microglial core rather than being confined to cluster 2</w:t>
      </w:r>
    </w:p>
    <w:p>
      <w:pPr/>
      <w:r>
        <w:rPr>
          <w:b w:val="0"/>
          <w:i w:val="0"/>
        </w:rPr>
        <w:t>The absence of robust diagnosis-enhanced internal amplification did not indicate that retained cortical microglia were transcriptionally static in ASD. To evaluate disease-associated remodeling directly, we performed ASD-versus-control pseudobulk analyses in pooled retained core microglia and within each retained cluster separately. These analyses showed that retained core microglia carried clear ASD-associated transcriptional change.</w:t>
      </w:r>
    </w:p>
    <w:p>
      <w:pPr/>
      <w:r>
        <w:rPr>
          <w:b w:val="0"/>
          <w:i w:val="0"/>
        </w:rPr>
        <w:t>In pooled retained core microglia, SPP1 remained one of the strongest ASD-upregulated genes together with additional remodeling-associated genes linked to inflammatory adaptation, lipid handling, hypoxia/stress responses, and myeloid activation. Importantly, the signal was not confined to cluster 2. Cluster 0 also carried ASD-associated upregulation of remodeling-related genes, and cluster 2 carried a related but not identical ASD-upregulated program. Thus, both retained clusters contributed to the retained-core disease signal, even though their surrounding gene context differed.</w:t>
      </w:r>
    </w:p>
    <w:p>
      <w:pPr/>
      <w:r>
        <w:rPr>
          <w:b w:val="0"/>
          <w:i w:val="0"/>
        </w:rPr>
        <w:t>These findings shifted the center of gravity of the manuscript away from a cluster-specific story and toward a retained-core story. Disease-associated transcriptional remodeling was present across retained cortical microglia and could not be explained solely by the emergence of a uniquely pathological cluster 2 compartment. In this framework, SPP1 remained biologically relevant, but it was more appropriately interpreted as part of a broader activation/remodeling program than as the defining anchor of a discrete disease-specific state.</w:t>
      </w:r>
    </w:p>
    <w:p>
      <w:pPr>
        <w:pStyle w:val="Heading2"/>
      </w:pPr>
      <w:r>
        <w:rPr>
          <w:b w:val="0"/>
          <w:i w:val="0"/>
        </w:rPr>
        <w:t>5. Cross-cohort validation shows weak mapped-cluster replication but concordant score-based program-level support</w:t>
      </w:r>
    </w:p>
    <w:p>
      <w:pPr/>
      <w:r>
        <w:rPr>
          <w:b w:val="0"/>
          <w:i w:val="0"/>
        </w:rPr>
        <w:t>We next asked whether the retained-core candidate/reference model would replicate in the independent Velmeshev single-nucleus cohort. Direct subcluster mapping provided only weak support for a one-to-one homologous candidate cluster. Validation subclusters correlated with both discovery clusters, and differential preference for discovery cluster 2 was limited rather than sharply discrete. This pattern argued against a model in which the key reproducible feature of ASD microglia is a strongly discrete cluster label that transfers cleanly across cohorts.</w:t>
      </w:r>
    </w:p>
    <w:p>
      <w:pPr/>
      <w:r>
        <w:rPr>
          <w:b w:val="0"/>
          <w:i w:val="0"/>
        </w:rPr>
        <w:t>We therefore evaluated cross-cohort support at the program level using frozen discovery-derived candidate and reference programs. Seven prespecified validation metrics were examined: all-microglia candidate-minus-reference score, all-microglia candidate-state score, all-microglia reference-like score, score-defined candidate proportion, score-defined reference proportion, score-defined log2(candidate/reference), and score-defined candidate-versus-reference shift. All seven metrics moved in the discovery-prioritized direction. Aggregate directional support was strong (7/7 matched; one-sided binomial P = 0.0078125; one-sided Stouffer P = 5.36 x 10^-5), and leave-one-metric-out analyses remained directionally stable.</w:t>
      </w:r>
    </w:p>
    <w:p>
      <w:pPr/>
      <w:r>
        <w:rPr>
          <w:b w:val="0"/>
          <w:i w:val="0"/>
        </w:rPr>
        <w:t>The validation data therefore supported a coherent but non-discrete interpretation. No strongly discrete homologous candidate cluster was recovered, but there was clear program-level support for the same candidate/reference remodeling axis. This is precisely the pattern expected if the cross-cohortly reproducible feature is a distributed state axis rather than a rigid cluster identity.</w:t>
      </w:r>
    </w:p>
    <w:p>
      <w:pPr>
        <w:pStyle w:val="Heading2"/>
      </w:pPr>
      <w:r>
        <w:rPr>
          <w:b w:val="0"/>
          <w:i w:val="0"/>
        </w:rPr>
        <w:t>6. Independent bulk-cortex validation in the Gandal 2022 cohort supports the same candidate/reference remodeling axis</w:t>
      </w:r>
    </w:p>
    <w:p>
      <w:pPr/>
      <w:r>
        <w:rPr>
          <w:b w:val="0"/>
          <w:i w:val="0"/>
        </w:rPr>
        <w:t>Because the discovery and validation results converged most clearly at the program level, we next asked whether the same frozen candidate/reference programs would remain detectable in independent cortical bulk tissue. In the Gandal 2022 cohort, ASD samples showed a higher candidate-program score (beta = 0.185, P = 0.0051, FDR = 0.0077), a lower reference-program score (beta = -0.231, P = 0.0226, FDR = 0.0226), and a higher candidate-minus-reference score (beta = 0.415, P = 0.0029, FDR = 0.0077). Thus, all three prespecified bulk readouts shifted in the expected direction and remained significant after multiple-testing correction.</w:t>
      </w:r>
    </w:p>
    <w:p>
      <w:pPr/>
      <w:r>
        <w:rPr>
          <w:b w:val="0"/>
          <w:i w:val="0"/>
        </w:rPr>
        <w:t>Leave-one-region-out sensitivity analysis across 11 cortical regions showed complete directional stability for all three metrics. Candidate-program effects remained positive in every iteration, reference-program effects remained negative throughout, and candidate-minus-reference effects remained positive in all models. These analyses indicated that the external bulk signal was not driven by any single cortical region.</w:t>
      </w:r>
    </w:p>
    <w:p>
      <w:pPr/>
      <w:r>
        <w:rPr>
          <w:b w:val="0"/>
          <w:i w:val="0"/>
        </w:rPr>
        <w:t>The importance of the Gandal validation is not that it proves a microglial subtype in bulk tissue; it cannot do that. Its importance is that it provides independent tissue-level support for the same candidate/reference remodeling axis detected in the retained-core single-nucleus analyses. Together with the Velmeshev results, this external concordance strengthens the interpretation that the reproducible feature is an axis of broad retained-core remodeling rather than a sharply bounded disease-specific cluster.</w:t>
      </w:r>
    </w:p>
    <w:p>
      <w:pPr>
        <w:pStyle w:val="Heading2"/>
      </w:pPr>
      <w:r>
        <w:rPr>
          <w:b w:val="0"/>
          <w:i w:val="0"/>
        </w:rPr>
        <w:t>7. Supplementary mechanistic prioritization layers remain hypothesis-generating</w:t>
      </w:r>
    </w:p>
    <w:p>
      <w:pPr/>
      <w:r>
        <w:rPr>
          <w:b w:val="0"/>
          <w:i w:val="0"/>
        </w:rPr>
        <w:t>Two supplementary analysis layers were retained to provide mechanistic context rather than primary evidence. Perturbation-based prioritization identified limited candidate reversal signals linked to the candidate/reference remodeling axis, with MAPK/BRAF-related signatures among the more notable primary hits. TF-target enrichment likewise highlighted convergent regulators shared between the candidate program and pooled ASD-up genes. These results are summarized in Supplementary Figures S3 and S4.</w:t>
      </w:r>
    </w:p>
    <w:p>
      <w:pPr/>
      <w:r>
        <w:rPr>
          <w:b w:val="0"/>
          <w:i w:val="0"/>
        </w:rPr>
        <w:t>The interpretive status of these layers is intentionally limited. They should be read as supplementary mechanistic and translational prioritization rather than as proof of drug reversal, proof of causal transcriptional control, or grounds for reintroducing a subtype-centered narrative. Their value is in highlighting external perturbational and regulatory space that is compatible with the candidate-oriented remodeling program and may guide subsequent experimental work.</w:t>
      </w:r>
    </w:p>
    <w:p>
      <w:pPr>
        <w:pStyle w:val="Heading1"/>
      </w:pPr>
      <w:r>
        <w:rPr>
          <w:b w:val="0"/>
          <w:i w:val="0"/>
        </w:rPr>
        <w:t>Discussion</w:t>
      </w:r>
    </w:p>
    <w:p>
      <w:pPr/>
      <w:r>
        <w:rPr>
          <w:b w:val="0"/>
          <w:i w:val="0"/>
        </w:rPr>
        <w:t>The revised analyses support a more constrained but more defensible interpretation of ASD cortical microglia than the original subtype-centered narrative. The most reproducible signal in these data is not a strongly discrete disease-specific SPP1-positive subtype that replicates cleanly across cohorts, but broad ASD-associated remodeling within a retained microglial core that includes a reproducible but non-discrete candidate/reference program. This interpretation is supported simultaneously by the discovery-stage audit, the donor-level retained-core analyses, the absence of robust diagnosis-enhanced internal amplification, the presence of retained-core-wide pseudobulk remodeling, the weak mapped-cluster replication in Velmeshev, and the program-level concordance observed in both single-nucleus and independent bulk-cortex validation.</w:t>
      </w:r>
    </w:p>
    <w:p>
      <w:pPr/>
      <w:r>
        <w:rPr>
          <w:b w:val="0"/>
          <w:i w:val="0"/>
        </w:rPr>
        <w:t>A first implication is that state reproducibility and disease association must be treated as related but distinct questions. The cluster 2 versus cluster 0 contrast was reproducible enough to support state definition and frozen-program derivation. That does not mean ASD robustly drives donors into cluster 2 as a discrete disease-specific compartment. The present data support the existence of a candidate-oriented axis, and they support disease association with that axis, but they do not support a categorical claim of strong diagnosis-enhanced internal state amplification. Keeping these questions separate avoids analytical slippage from “the state exists” to “the disease specifically expands the state.”</w:t>
      </w:r>
    </w:p>
    <w:p>
      <w:pPr/>
      <w:r>
        <w:rPr>
          <w:b w:val="0"/>
          <w:i w:val="0"/>
        </w:rPr>
        <w:t>A second implication is that disease-associated remodeling in ASD cortex is broader than cluster 2 alone. The pooled retained-core pseudobulk signal and the separate cluster 0 and cluster 2 disease contrasts show that ASD-associated transcriptional change is detectable across retained microglia. This matters because it shifts the center of gravity of the manuscript away from a cluster-specific story and toward a retained-core story. Cluster 2 remains biologically informative because it provides a coherent candidate-oriented expression context, but it does not monopolize the disease signal. That broader framing is also more compatible with the wider ASD transcriptomic literature, in which glial and immune changes coexist with extensive neuronal and synaptic dysregulation rather than forming a fully isolated disease axis [9, 10, 18, 34, 35].</w:t>
      </w:r>
    </w:p>
    <w:p>
      <w:pPr/>
      <w:r>
        <w:rPr>
          <w:b w:val="0"/>
          <w:i w:val="0"/>
        </w:rPr>
        <w:t>A third implication concerns how individual remodeling genes, including SPP1, should now be interpreted. SPP1 remains biologically relevant: it is repeatedly upregulated in the retained-core analyses and remains part of the remodeling landscape. However, the revised data do not support SPP1 as a unique state-defining anchor. It is better understood as one prominent component of a broader ASD-associated remodeling program. This is also why the manuscript no longer requires a section centered on “SPP1 as the anchor of the state.” Instead, SPP1 is discussed within a broader retained-core remodeling framework, which is more consistent with both the pseudobulk results and the reviewer concern that no single marker should carry the entire interpretive burden of the study.</w:t>
      </w:r>
    </w:p>
    <w:p>
      <w:pPr/>
      <w:r>
        <w:rPr>
          <w:b w:val="0"/>
          <w:i w:val="0"/>
        </w:rPr>
        <w:t>The validation results further strengthen the program-level interpretation. In the Velmeshev dataset, mapped-cluster replication was weak, which argues against a one-to-one discrete-cluster model. But weak mapped-cluster replication did not mean the biological signal disappeared. Once the analysis was reframed around frozen candidate/reference programs, all seven prespecified metrics shifted in the expected direction, and the aggregate directional signal was strong. This is the pattern one would expect if the cross-cohortly reproducible feature were a distributed state axis rather than a rigid cluster label. The independent Gandal bulk cortex analyses extend that argument. Bulk tissue cannot validate a discrete microglial subtype, but it can validate a distributed disease-associated program. The fact that the candidate/reference axis remained significant and leave-one-region-out stable in Gandal therefore provides independent support at the biologically appropriate level.</w:t>
      </w:r>
    </w:p>
    <w:p>
      <w:pPr/>
      <w:r>
        <w:rPr>
          <w:b w:val="0"/>
          <w:i w:val="0"/>
        </w:rPr>
        <w:t>The revised discussion also provides a more coherent way to situate the many non-retained discovery clusters. We do not interpret those clusters as necessarily artifactual or irrelevant. Instead, the audit-first framework treats them as populations whose biological status cannot be resolved strongly enough, under the present data, to support confident disease-state inference. This is a pragmatic rather than dismissive stance. In human postmortem microglial analyses, finer substructure may reflect a mixture of true heterogeneity, donor imbalance, residual background, and technical fragmentation. This caution is consistent with recent differential-state benchmarking and pseudoreplication work, which has emphasized donor-aware or pseudobulk strategies over naive cell-level case-control testing in multisubject single-cell studies [36-38]. The decision to narrow the primary inference to the retained core was therefore an interpretive safeguard rather than a claim that the rest of the landscape is biologically empty. A simpler lower-resolution partition might recapitulate the same broad disease-associated remodeling trend, but it would also collapse the specific candidate/reference contrast used here to derive frozen programs and to test whether program-level support persists even when discrete mapped-cluster replication is weak.</w:t>
      </w:r>
    </w:p>
    <w:p>
      <w:pPr/>
      <w:r>
        <w:rPr>
          <w:b w:val="0"/>
          <w:i w:val="0"/>
        </w:rPr>
        <w:t>Several limitations deserve emphasis. First, this study is based on postmortem transcriptomic data and computational state inference. The analyses support a reproducible candidate/reference remodeling axis, but they do not establish direct causal mechanisms. Second, validation was performed in a single-nucleus dataset, and nucleus-based assays may undersample some activation-associated microglial transcripts, which likely reduces resolution for recovering a sharply discrete activation-like cluster [39]. Third, the bulk-cortex results provide tissue-level corroboration of the same axis, but bulk data cannot localize the signal to a single microglial subpopulation. Fourth, the perturbation and TF-prioritization layers are explicitly hypothesis-generating and should not be read as proof of drug reversal or causal regulatory control.</w:t>
      </w:r>
    </w:p>
    <w:p>
      <w:pPr/>
      <w:r>
        <w:rPr>
          <w:b w:val="0"/>
          <w:i w:val="0"/>
        </w:rPr>
        <w:t>Overall, the revised manuscript supports a model of broad ASD-associated microglial remodeling that includes a reproducible but non-discrete candidate/reference program within a retained microglial core. This interpretation is more conservative than a disease-specific subtype model, but it is also more stable across discovery, validation, and external bulk-cortex analyses. Future work should test this candidate/reference remodeling axis experimentally, determine how it relates to synaptic and neuronal pathology across developmental windows, and assess whether the supplementary mechanistic prioritization signals can be linked to causal microglial remodeling in model systems. Because the discovery and validation resources were generated with droplet-based single-cell and single-nucleus platforms [22, 40], future orthogonal profiling with matched spatial, histological, or perturbational data will be especially important for resolving which non-retained substructures represent stable biology and which primarily reflect residual complexity in human postmortem cortical tissue.</w:t>
      </w:r>
    </w:p>
    <w:p>
      <w:pPr>
        <w:pStyle w:val="Heading1"/>
      </w:pPr>
      <w:r>
        <w:rPr>
          <w:b w:val="0"/>
          <w:i w:val="0"/>
        </w:rPr>
        <w:t>Methods</w:t>
      </w:r>
    </w:p>
    <w:p>
      <w:pPr>
        <w:pStyle w:val="Heading2"/>
      </w:pPr>
      <w:r>
        <w:rPr>
          <w:b w:val="0"/>
          <w:i w:val="0"/>
        </w:rPr>
        <w:t>1. Study design and datasets</w:t>
      </w:r>
    </w:p>
    <w:p>
      <w:pPr/>
      <w:r>
        <w:rPr>
          <w:b w:val="0"/>
          <w:i w:val="0"/>
        </w:rPr>
        <w:t>This study used a donor-aware multi-stage design comprising discovery-stage state definition, cross-cohort single-nucleus validation, and independent external bulk-cortex validation. The discovery resource was the PsychENCODE/Wamsley cortical single-nucleus dataset [20, 21]. Cross-cohort validation was performed in the Velmeshev cortical ASD dataset [19]. External tissue-level validation was performed in the Gandal 2022 ASD bulk cortex resource [18]. Complete cohort characteristics, including sample counts, age ranges, sex distribution, brain regions, sequencing platforms, and retained cells or nuclei after quality control, are provided in Supplementary Table S1.</w:t>
      </w:r>
    </w:p>
    <w:p>
      <w:pPr/>
      <w:r>
        <w:rPr>
          <w:b w:val="0"/>
          <w:i w:val="0"/>
        </w:rPr>
        <w:t>The overall analytic framework comprised four linked components: (i) all-cluster auditing and retained-core definition in the discovery microglial object; (ii) donor-level discovery analyses of abundance, paired state shifts, and ASD-associated transcriptional remodeling within retained core microglia; (iii) cross-cohort score-based validation in Velmeshev using frozen candidate and reference programs; and (iv) external program-level validation in Gandal 2022, together with leave-one-region-out robustness analysis.</w:t>
      </w:r>
    </w:p>
    <w:p>
      <w:pPr>
        <w:pStyle w:val="Heading2"/>
      </w:pPr>
      <w:r>
        <w:rPr>
          <w:b w:val="0"/>
          <w:i w:val="0"/>
        </w:rPr>
        <w:t>2. Discovery-space clustering, audit, and retained-core definition</w:t>
      </w:r>
    </w:p>
    <w:p>
      <w:pPr/>
      <w:r>
        <w:rPr>
          <w:b w:val="0"/>
          <w:i w:val="0"/>
        </w:rPr>
        <w:t>The discovery object was processed in R using a Seurat/Harmony-based workflow [22, 23]. Major package names and exact version numbers are listed in Supplementary Table S10. Initial filtering excluded low-quality barcodes, and the published cortical object was reclustered within the microglial compartment. Reclustering was performed at resolution 0.4 for the microglial subset, which preserved the dominant internal candidate/reference contrast while avoiding over-interpretation of finer fragmentation. Crucially, clusters generated at this resolution were not assumed to be biologically valid a priori.</w:t>
      </w:r>
    </w:p>
    <w:p>
      <w:pPr/>
      <w:r>
        <w:rPr>
          <w:b w:val="0"/>
          <w:i w:val="0"/>
        </w:rPr>
        <w:t>Instead, all discovery clusters were reviewed using an audit-first framework that considered microglial marker retention, non-microglial background, donor representation, and overall interpretability. Representative lineage-support markers included AIF1, C1QC, CX3CR1, P2RY12, SPI1, and TMEM119 for microglial identity, together with background panels capturing neuronal/synaptic, astrocytic, oligodendroglial, OPC-like, vascular, and lymphoid signal. Canonical marker references are provided in Supplementary Table S2. Only clusters 0 and 2 were retained for conservative downstream disease inference.</w:t>
      </w:r>
    </w:p>
    <w:p>
      <w:pPr>
        <w:pStyle w:val="Heading2"/>
      </w:pPr>
      <w:r>
        <w:rPr>
          <w:b w:val="0"/>
          <w:i w:val="0"/>
        </w:rPr>
        <w:t>3. State-defining analysis and frozen candidate/reference programs</w:t>
      </w:r>
    </w:p>
    <w:p>
      <w:pPr/>
      <w:r>
        <w:rPr>
          <w:b w:val="0"/>
          <w:i w:val="0"/>
        </w:rPr>
        <w:t>To define the principal internal contrast within retained core microglia, we compared clusters 2 and 0 using donor-aware paired pseudobulk analysis. Cells were aggregated within donor-by-cluster strata, and donor-cluster combinations below minimum cell-count thresholds were excluded from paired analysis. Cluster 2-up genes were interpreted as candidate-state-enriched features, whereas cluster 0-up genes were interpreted as reference-like or background-associated features.</w:t>
      </w:r>
    </w:p>
    <w:p>
      <w:pPr/>
      <w:r>
        <w:rPr>
          <w:b w:val="0"/>
          <w:i w:val="0"/>
        </w:rPr>
        <w:t>Frozen candidate and reference programs were then derived from the paired cluster 2 versus cluster 0 contrast. For downstream projection and validation, the top positive and top negative genes from this paired contrast were retained as fixed discovery-derived programs. The final frozen gene lists used throughout the manuscript are provided in Supplementary Table S3. This formulation also resolves the inconsistency in the earlier manuscript: the reference comparator used for downstream validation was cluster 0 within the retained core, not an alternative “cluster 4” definition.</w:t>
      </w:r>
    </w:p>
    <w:p>
      <w:pPr>
        <w:pStyle w:val="Heading2"/>
      </w:pPr>
      <w:r>
        <w:rPr>
          <w:b w:val="0"/>
          <w:i w:val="0"/>
        </w:rPr>
        <w:t>4. Donor-level discovery analyses</w:t>
      </w:r>
    </w:p>
    <w:p>
      <w:pPr/>
      <w:r>
        <w:rPr>
          <w:b w:val="0"/>
          <w:i w:val="0"/>
        </w:rPr>
        <w:t>Within the retained core, donor-level discovery analyses quantified candidate-minus-reference score, candidate-state score, reference-like score, cluster 2 proportion, and log2(cluster 2/cluster 0). Cell-level score panels were retained only as descriptive background, whereas inferential comparisons were performed at the donor level. This donor-aware framing was adopted to avoid pseudoreplication in multi-subject single-nucleus data.</w:t>
      </w:r>
    </w:p>
    <w:p>
      <w:pPr/>
      <w:r>
        <w:rPr>
          <w:b w:val="0"/>
          <w:i w:val="0"/>
        </w:rPr>
        <w:t>To test whether diagnosis enhanced the internal state contrast itself, we fitted a donor-paired delta model comparing cluster 2-minus-cluster 0 pseudobulk contrasts between ASD and control samples. This analysis specifically targeted diagnosis-enhanced internal state amplification rather than simple abundance differences.</w:t>
      </w:r>
    </w:p>
    <w:p>
      <w:pPr>
        <w:pStyle w:val="Heading2"/>
      </w:pPr>
      <w:r>
        <w:rPr>
          <w:b w:val="0"/>
          <w:i w:val="0"/>
        </w:rPr>
        <w:t>5. Pseudobulk differential expression across the retained core</w:t>
      </w:r>
    </w:p>
    <w:p>
      <w:pPr/>
      <w:r>
        <w:rPr>
          <w:b w:val="0"/>
          <w:i w:val="0"/>
        </w:rPr>
        <w:t>ASD-versus-control pseudobulk differential expression was performed in pooled retained microglia and within each retained cluster separately. Count-level analyses used standard RNA-seq linear-model workflows based on edgeR, limma, and voom [30-32]. Genes were carried forward according to the prespecified expression and modeling filters used in the analysis pipeline, and multiple-testing correction used the Benjamini-Hochberg method. Full pooled retained-core results are provided in Supplementary Table S4, and cluster-specific results for clusters 0 and 2 are provided in Supplementary Table S5.</w:t>
      </w:r>
    </w:p>
    <w:p>
      <w:pPr>
        <w:pStyle w:val="Heading2"/>
      </w:pPr>
      <w:r>
        <w:rPr>
          <w:b w:val="0"/>
          <w:i w:val="0"/>
        </w:rPr>
        <w:t>6. Cross-cohort single-nucleus validation in the Velmeshev dataset</w:t>
      </w:r>
    </w:p>
    <w:p>
      <w:pPr/>
      <w:r>
        <w:rPr>
          <w:b w:val="0"/>
          <w:i w:val="0"/>
        </w:rPr>
        <w:t>Validation microglia were processed within the Velmeshev dataset [19]. Direct subcluster-to-cluster comparison was used only to assess mapped-cluster similarity and did not determine the primary validation conclusion. The primary harmonized validation set was defined as the strict shared sample set available across all prespecified score-based metrics.</w:t>
      </w:r>
    </w:p>
    <w:p>
      <w:pPr/>
      <w:r>
        <w:rPr>
          <w:b w:val="0"/>
          <w:i w:val="0"/>
        </w:rPr>
        <w:t>Seven validation metrics were treated as primary program-level readouts: all-microglia candidate-minus-reference score, all-microglia candidate-state score, all-microglia reference-like score, score-defined candidate proportion, score-defined reference proportion, score-defined log2(candidate/reference), and score-defined candidate-versus-reference shift. Full metric definitions and results are provided in Supplementary Table S6.</w:t>
      </w:r>
    </w:p>
    <w:p>
      <w:pPr>
        <w:pStyle w:val="Heading2"/>
      </w:pPr>
      <w:r>
        <w:rPr>
          <w:b w:val="0"/>
          <w:i w:val="0"/>
        </w:rPr>
        <w:t>7. Directional concordance and robustness analysis</w:t>
      </w:r>
    </w:p>
    <w:p>
      <w:pPr/>
      <w:r>
        <w:rPr>
          <w:b w:val="0"/>
          <w:i w:val="0"/>
        </w:rPr>
        <w:t>To summarize cross-cohort support at the program level, each validation metric was assigned a discovery-prioritized expected direction. Aggregate support was then summarized using a one-sided binomial test and Stouffer-based aggregation of directional P values. Robustness was examined using leave-one-metric-out analysis, and the complete results are provided in Supplementary Table S7.</w:t>
      </w:r>
    </w:p>
    <w:p>
      <w:pPr>
        <w:pStyle w:val="Heading2"/>
      </w:pPr>
      <w:r>
        <w:rPr>
          <w:b w:val="0"/>
          <w:i w:val="0"/>
        </w:rPr>
        <w:t>8. External bulk-cortex validation in the Gandal 2022 cohort</w:t>
      </w:r>
    </w:p>
    <w:p>
      <w:pPr/>
      <w:r>
        <w:rPr>
          <w:b w:val="0"/>
          <w:i w:val="0"/>
        </w:rPr>
        <w:t>For external validation, normalized expression and metadata from the Gandal 2022 ASD bulk cortex cohort [18] were loaded and restricted to ASD and control samples. Genes were mapped to symbols where required, and the frozen discovery-derived candidate and reference programs were projected into the bulk matrix. Candidate-program, reference-program, and candidate-minus-reference scores were calculated at the sample level and treated as the three prespecified external-support metrics.</w:t>
      </w:r>
    </w:p>
    <w:p>
      <w:pPr/>
      <w:r>
        <w:rPr>
          <w:b w:val="0"/>
          <w:i w:val="0"/>
        </w:rPr>
        <w:t>Diagnosis effects were tested using subject-level mixed models adjusted for brain region and available technical and demographic covariates, including sequencing batch, sex, ancestry, age, age squared, postmortem interval, and RNA integrity number. The gene-mapping overlap used for external projection is provided in Supplementary Table S8. Leave-one-region-out re-fitting across 11 cortical regions provided the robustness results summarized in Supplementary Table S9.</w:t>
      </w:r>
    </w:p>
    <w:p>
      <w:pPr>
        <w:pStyle w:val="Heading2"/>
      </w:pPr>
      <w:r>
        <w:rPr>
          <w:b w:val="0"/>
          <w:i w:val="0"/>
        </w:rPr>
        <w:t>9. Supplementary mechanistic prioritization layers</w:t>
      </w:r>
    </w:p>
    <w:p>
      <w:pPr/>
      <w:r>
        <w:rPr>
          <w:b w:val="0"/>
          <w:i w:val="0"/>
        </w:rPr>
        <w:t>Supplementary perturbation-based prioritization and TF-target enrichment analyses were performed to provide mechanistic context only. Perturbation scoring used the frozen candidate/reference programs as the primary input, whereas TF prioritization summarized convergent regulator enrichment across the candidate program and pooled ASD-up genes. These layers were not used to support primary causal claims.</w:t>
      </w:r>
    </w:p>
    <w:p>
      <w:pPr>
        <w:pStyle w:val="Heading2"/>
      </w:pPr>
      <w:r>
        <w:rPr>
          <w:b w:val="0"/>
          <w:i w:val="0"/>
        </w:rPr>
        <w:t>10. Software, package versions, and reproducibility</w:t>
      </w:r>
    </w:p>
    <w:p>
      <w:pPr/>
      <w:r>
        <w:rPr>
          <w:b w:val="0"/>
          <w:i w:val="0"/>
        </w:rPr>
        <w:t>Core analyses were performed in R using Seurat-based single-nucleus processing, Harmony-based integration, pseudobulk differential expression with edgeR/limma/voom, and figure generation with standard data-visualization packages [22, 23, 30-32]. Supplementary mechanistic analyses used CellChat [24], decoupleR [25], and DoRothEA-resource summaries [26] where applicable. Exact software versions, package versions, and key run parameters are listed in Supplementary Table S10.</w:t>
      </w:r>
    </w:p>
    <w:p>
      <w:pPr/>
      <w:r>
        <w:rPr>
          <w:b w:val="0"/>
          <w:i w:val="0"/>
        </w:rPr>
        <w:t>To address the reproducibility concerns raised during review, the revised submission should include a public code repository and versioned archive. Placeholder text is provided below and should be replaced with the final links before resubmission.</w:t>
      </w:r>
    </w:p>
    <w:p>
      <w:pPr/>
      <w:r>
        <w:rPr>
          <w:b w:val="0"/>
          <w:i w:val="0"/>
        </w:rPr>
        <w:t>Abbreviations</w:t>
      </w:r>
    </w:p>
    <w:p>
      <w:pPr/>
      <w:r>
        <w:rPr>
          <w:b w:val="0"/>
          <w:i w:val="0"/>
        </w:rPr>
        <w:t>ASD, autism spectrum disorder</w:t>
      </w:r>
    </w:p>
    <w:p>
      <w:pPr/>
      <w:r>
        <w:rPr>
          <w:b w:val="0"/>
          <w:i w:val="0"/>
        </w:rPr>
        <w:t>BH, Benjamini-Hochberg</w:t>
      </w:r>
    </w:p>
    <w:p>
      <w:pPr/>
      <w:r>
        <w:rPr>
          <w:b w:val="0"/>
          <w:i w:val="0"/>
        </w:rPr>
        <w:t>FDR, false discovery rate</w:t>
      </w:r>
    </w:p>
    <w:p>
      <w:pPr/>
      <w:r>
        <w:rPr>
          <w:b w:val="0"/>
          <w:i w:val="0"/>
        </w:rPr>
        <w:t>QC, quality control</w:t>
      </w:r>
    </w:p>
    <w:p>
      <w:pPr/>
      <w:r>
        <w:rPr>
          <w:b w:val="0"/>
          <w:i w:val="0"/>
        </w:rPr>
        <w:t>snRNA-seq, single-nucleus RNA sequencing</w:t>
      </w:r>
    </w:p>
    <w:p>
      <w:pPr/>
      <w:r>
        <w:rPr>
          <w:b w:val="0"/>
          <w:i w:val="0"/>
        </w:rPr>
        <w:t>UMAP, Uniform Manifold Approximation and Projection</w:t>
      </w:r>
    </w:p>
    <w:p>
      <w:pPr/>
      <w:r>
        <w:rPr>
          <w:b w:val="0"/>
          <w:i w:val="0"/>
        </w:rPr>
        <w:t>Data availability</w:t>
      </w:r>
    </w:p>
    <w:p>
      <w:pPr/>
      <w:r>
        <w:rPr>
          <w:b w:val="0"/>
          <w:i w:val="0"/>
        </w:rPr>
        <w:t>All datasets analyzed in this study are publicly available from their original sources. The discovery and validation single-nucleus datasets are available through the corresponding published resources. The external bulk-cortex validation dataset is available from the Gandal 2022 publication and associated repository. Supplementary Tables S1-S10 are provided with this revised submission.</w:t>
      </w:r>
    </w:p>
    <w:p>
      <w:pPr/>
      <w:r>
        <w:rPr>
          <w:b w:val="0"/>
          <w:i w:val="0"/>
        </w:rPr>
        <w:t>Code availability</w:t>
      </w:r>
    </w:p>
    <w:p>
      <w:pPr/>
      <w:r>
        <w:rPr>
          <w:b w:val="0"/>
          <w:i w:val="0"/>
        </w:rPr>
        <w:t>All scripts required to reproduce the main and supplementary analyses should be made available in a public version-controlled repository and archived in a versioned Zenodo release for the revised submission. Replace the placeholders below with the final links before submission:</w:t>
      </w:r>
    </w:p>
    <w:p>
      <w:pPr/>
      <w:r>
        <w:rPr>
          <w:b w:val="0"/>
          <w:i w:val="0"/>
        </w:rPr>
        <w:t>GitHub: [insert repository URL]</w:t>
      </w:r>
    </w:p>
    <w:p>
      <w:pPr/>
      <w:r>
        <w:rPr>
          <w:b w:val="0"/>
          <w:i w:val="0"/>
        </w:rPr>
        <w:t>Zenodo: [insert DOI or archive URL]</w:t>
      </w:r>
    </w:p>
    <w:p>
      <w:pPr/>
      <w:r>
        <w:rPr>
          <w:b w:val="0"/>
          <w:i w:val="0"/>
        </w:rPr>
        <w:t>Ethics approval and consent to participate</w:t>
      </w:r>
    </w:p>
    <w:p>
      <w:pPr/>
      <w:r>
        <w:rPr>
          <w:b w:val="0"/>
          <w:i w:val="0"/>
        </w:rPr>
        <w:t>Not applicable. This study used previously published, de-identified public datasets and involved no new human participant recruitment or intervention.</w:t>
      </w:r>
    </w:p>
    <w:p>
      <w:pPr/>
      <w:r>
        <w:rPr>
          <w:b w:val="0"/>
          <w:i w:val="0"/>
        </w:rPr>
        <w:t>Consent for publication</w:t>
      </w:r>
    </w:p>
    <w:p>
      <w:pPr/>
      <w:r>
        <w:rPr>
          <w:b w:val="0"/>
          <w:i w:val="0"/>
        </w:rPr>
        <w:t>Not applicable.</w:t>
      </w:r>
    </w:p>
    <w:p>
      <w:pPr/>
      <w:r>
        <w:rPr>
          <w:b w:val="0"/>
          <w:i w:val="0"/>
        </w:rPr>
        <w:t>Competing interests</w:t>
      </w:r>
    </w:p>
    <w:p>
      <w:pPr/>
      <w:r>
        <w:rPr>
          <w:b w:val="0"/>
          <w:i w:val="0"/>
        </w:rPr>
        <w:t>The authors declare that they have no competing interests.</w:t>
      </w:r>
    </w:p>
    <w:p>
      <w:pPr/>
      <w:r>
        <w:rPr>
          <w:b w:val="0"/>
          <w:i w:val="0"/>
        </w:rPr>
        <w:t>Funding</w:t>
      </w:r>
    </w:p>
    <w:p>
      <w:pPr/>
      <w:r>
        <w:rPr>
          <w:b w:val="0"/>
          <w:i w:val="0"/>
        </w:rPr>
        <w:t>This section should be aligned with the final grant and institutional wording used in the revised submission. Replace with the exact final funding statement used by the authors if any wording needs updating.</w:t>
      </w:r>
    </w:p>
    <w:p>
      <w:pPr/>
      <w:r>
        <w:rPr>
          <w:b w:val="0"/>
          <w:i w:val="0"/>
        </w:rPr>
        <w:t>Authors’ contributions</w:t>
      </w:r>
    </w:p>
    <w:p>
      <w:pPr/>
      <w:r>
        <w:rPr>
          <w:b w:val="0"/>
          <w:i w:val="0"/>
        </w:rPr>
        <w:t>Aojie Lian: conceptualization, methodology, formal analysis, visualization, writing - original draft, writing - review and editing, supervision. Yingmei Yang: investigation, methodology. Yizheng Jiang: data curation, validation. Yiping Liu: writing - review and editing. Mei He: resources, data curation. All authors read and approved the final manuscript.</w:t>
      </w:r>
    </w:p>
    <w:p>
      <w:pPr/>
      <w:r>
        <w:rPr>
          <w:b w:val="0"/>
          <w:i w:val="0"/>
        </w:rPr>
        <w:t>Acknowledgements</w:t>
      </w:r>
    </w:p>
    <w:p>
      <w:pPr/>
      <w:r>
        <w:rPr>
          <w:b w:val="0"/>
          <w:i w:val="0"/>
        </w:rPr>
        <w:t>The authors thank the investigators who generated and shared the public datasets reanalyzed in this study.</w:t>
      </w:r>
    </w:p>
    <w:p>
      <w:pPr>
        <w:pStyle w:val="Heading1"/>
      </w:pPr>
      <w:r>
        <w:rPr>
          <w:b w:val="0"/>
          <w:i w:val="0"/>
        </w:rPr>
        <w:t>References</w:t>
      </w:r>
    </w:p>
    <w:p>
      <w:pPr>
        <w:pStyle w:val="Heading2"/>
      </w:pPr>
      <w:r>
        <w:rPr>
          <w:b w:val="0"/>
          <w:i w:val="0"/>
        </w:rPr>
        <w:t>1. Rubenstein JL, Merzenich MM. Model of autism: increased ratio of excitation/inhibition in key neural systems. Genes Brain Behav. 2003;2(5):255-67.</w:t>
      </w:r>
    </w:p>
    <w:p>
      <w:pPr>
        <w:pStyle w:val="Heading2"/>
      </w:pPr>
      <w:r>
        <w:rPr>
          <w:b w:val="0"/>
          <w:i w:val="0"/>
        </w:rPr>
        <w:t>2. Tang G, Gudsnuk K, Kuo SH, Cotrina ML, Rosoklija G, Sosunov A, et al. Loss of mTOR-dependent macroautophagy causes autistic-like synaptic pruning deficits. Neuron. 2014;83(5):1131-43.</w:t>
      </w:r>
    </w:p>
    <w:p>
      <w:pPr>
        <w:pStyle w:val="Heading2"/>
      </w:pPr>
      <w:r>
        <w:rPr>
          <w:b w:val="0"/>
          <w:i w:val="0"/>
        </w:rPr>
        <w:t>3. Salter MW, Stevens B. Microglia emerge as central players in brain disease. Nat Med. 2017;23(9):1018-27.</w:t>
      </w:r>
    </w:p>
    <w:p>
      <w:pPr>
        <w:pStyle w:val="Heading2"/>
      </w:pPr>
      <w:r>
        <w:rPr>
          <w:b w:val="0"/>
          <w:i w:val="0"/>
        </w:rPr>
        <w:t>4. Paolicelli RC, Bolasco G, Pagani F, Maggi L, Scianni M, Panzanelli P, et al. Synaptic pruning by microglia is necessary for normal brain development. Science. 2011;333(6048):1456-8.</w:t>
      </w:r>
    </w:p>
    <w:p>
      <w:pPr>
        <w:pStyle w:val="Heading2"/>
      </w:pPr>
      <w:r>
        <w:rPr>
          <w:b w:val="0"/>
          <w:i w:val="0"/>
        </w:rPr>
        <w:t>5. Schafer DP, Lehrman EK, Kautzman AG, Koyama R, Mardinly AR, Yamasaki R, et al. Microglia sculpt postnatal neural circuits in an activity and complement-dependent manner. Neuron. 2012;74(4):691-705.</w:t>
      </w:r>
    </w:p>
    <w:p>
      <w:pPr>
        <w:pStyle w:val="Heading2"/>
      </w:pPr>
      <w:r>
        <w:rPr>
          <w:b w:val="0"/>
          <w:i w:val="0"/>
        </w:rPr>
        <w:t>6. Werneburg S, Jung J, Kunjamma RB, Ha SK, Luciano NJ, Willis CM, et al. Targeted complement inhibition at synapses prevents microglial synaptic engulfment and synapse loss in demyelinating disease. Immunity. 2020;52(1):167-82.e7.</w:t>
      </w:r>
    </w:p>
    <w:p>
      <w:pPr>
        <w:pStyle w:val="Heading2"/>
      </w:pPr>
      <w:r>
        <w:rPr>
          <w:b w:val="0"/>
          <w:i w:val="0"/>
        </w:rPr>
        <w:t>7. Morgan JT, Chana G, Pardo CA, Achim C, Semendeferi K, Buckwalter J, et al. Microglial activation and increased microglial density observed in the dorsolateral prefrontal cortex in autism. Biol Psychiatry. 2010;68(4):368-76.</w:t>
      </w:r>
    </w:p>
    <w:p>
      <w:pPr>
        <w:pStyle w:val="Heading2"/>
      </w:pPr>
      <w:r>
        <w:rPr>
          <w:b w:val="0"/>
          <w:i w:val="0"/>
        </w:rPr>
        <w:t>8. Suzuki K, Sugihara G, Ouchi Y, Nakamura K, Futatsubashi M, Takebayashi K, et al. Microglial activation in young adults with autism spectrum disorder. JAMA Psychiatry. 2013;70(1):49-58.</w:t>
      </w:r>
    </w:p>
    <w:p>
      <w:pPr>
        <w:pStyle w:val="Heading2"/>
      </w:pPr>
      <w:r>
        <w:rPr>
          <w:b w:val="0"/>
          <w:i w:val="0"/>
        </w:rPr>
        <w:t>9. Voineagu I, Wang X, Johnston P, Lowe JK, Tian Y, Horvath S, et al. Transcriptomic analysis of autistic brain reveals convergent molecular pathology. Nature. 2011;474(7351):380-4.</w:t>
      </w:r>
    </w:p>
    <w:p>
      <w:pPr>
        <w:pStyle w:val="Heading2"/>
      </w:pPr>
      <w:r>
        <w:rPr>
          <w:b w:val="0"/>
          <w:i w:val="0"/>
        </w:rPr>
        <w:t>10. Gupta S, Ellis SE, Ashar FN, Moes A, Bader JS, Zhan J, et al. Transcriptome analysis reveals dysregulation of innate immune response genes and neuronal activity-dependent genes in autism. Nat Commun. 2014;5:5748.</w:t>
      </w:r>
    </w:p>
    <w:p>
      <w:pPr>
        <w:pStyle w:val="Heading2"/>
      </w:pPr>
      <w:r>
        <w:rPr>
          <w:b w:val="0"/>
          <w:i w:val="0"/>
        </w:rPr>
        <w:t>11. Keren-Shaul H, Spinrad A, Weiner A, Matcovitch-Natan O, Dvir-Szternfeld R, Ulland TK, et al. A unique microglia type associated with restricting development of Alzheimer disease. Cell. 2017;169(7):1276-90.e17.</w:t>
      </w:r>
    </w:p>
    <w:p>
      <w:pPr>
        <w:pStyle w:val="Heading2"/>
      </w:pPr>
      <w:r>
        <w:rPr>
          <w:b w:val="0"/>
          <w:i w:val="0"/>
        </w:rPr>
        <w:t>12. Marschallinger J, Iram T, Zardeneta M, Lee SE, Lehallier B, Haney MS, et al. Lipid-droplet-accumulating microglia represent a dysfunctional and proinflammatory state in the aging brain. Nat Neurosci. 2020;23(2):194-208.</w:t>
      </w:r>
    </w:p>
    <w:p>
      <w:pPr>
        <w:pStyle w:val="Heading2"/>
      </w:pPr>
      <w:r>
        <w:rPr>
          <w:b w:val="0"/>
          <w:i w:val="0"/>
        </w:rPr>
        <w:t>13. Ulland TK, Song WM, Huang SCC, Ulrich JD, Sergushichev A, Beatty WL, et al. TREM2 maintains microglial metabolic fitness in Alzheimer disease. Cell. 2017;170(4):649-63.e13.</w:t>
      </w:r>
    </w:p>
    <w:p>
      <w:pPr>
        <w:pStyle w:val="Heading2"/>
      </w:pPr>
      <w:r>
        <w:rPr>
          <w:b w:val="0"/>
          <w:i w:val="0"/>
        </w:rPr>
        <w:t>14. O'Neill LAJ, Kishton RJ, Rathmell J. A guide to immunometabolism for immunologists. Nat Rev Immunol. 2016;16(9):553-65.</w:t>
      </w:r>
    </w:p>
    <w:p>
      <w:pPr>
        <w:pStyle w:val="Heading2"/>
      </w:pPr>
      <w:r>
        <w:rPr>
          <w:b w:val="0"/>
          <w:i w:val="0"/>
        </w:rPr>
        <w:t>15. Dennis EA, Norris PC. Eicosanoid storm in infection and inflammation. Nat Rev Immunol. 2015;15(8):511-23.</w:t>
      </w:r>
    </w:p>
    <w:p>
      <w:pPr>
        <w:pStyle w:val="Heading2"/>
      </w:pPr>
      <w:r>
        <w:rPr>
          <w:b w:val="0"/>
          <w:i w:val="0"/>
        </w:rPr>
        <w:t>16. De Schepper S, Zinnhardt B, Wichapong K, Matschke J, Möller T, de Vries HE, et al. Perivascular cells induce microglial phagocytic states and synaptic engulfment via SPP1 in mouse models of Alzheimer's disease. Nat Neurosci. 2023;26(3):406-15.</w:t>
      </w:r>
    </w:p>
    <w:p>
      <w:pPr>
        <w:pStyle w:val="Heading2"/>
      </w:pPr>
      <w:r>
        <w:rPr>
          <w:b w:val="0"/>
          <w:i w:val="0"/>
        </w:rPr>
        <w:t>17. Satterstrom FK, Kosmicki JA, Wang J, Breen MS, De Rubeis S, An JY, et al. Large-scale exome sequencing study implicates both developmental and functional changes in the neurobiology of autism. Cell. 2020;180(3):568-84.e23.</w:t>
      </w:r>
    </w:p>
    <w:p>
      <w:pPr>
        <w:pStyle w:val="Heading2"/>
      </w:pPr>
      <w:r>
        <w:rPr>
          <w:b w:val="0"/>
          <w:i w:val="0"/>
        </w:rPr>
        <w:t>18. Gandal MJ, Haney JR, Wamsley B, Yap CX, Parhami S, Emani PS, et al. Broad transcriptomic dysregulation occurs across the cerebral cortex in ASD. Nature. 2022;611(7936):532-9.</w:t>
      </w:r>
    </w:p>
    <w:p>
      <w:pPr>
        <w:pStyle w:val="Heading2"/>
      </w:pPr>
      <w:r>
        <w:rPr>
          <w:b w:val="0"/>
          <w:i w:val="0"/>
        </w:rPr>
        <w:t>19. Velmeshev D, Schirmer L, Jung D, Haeussler M, Perez Y, Mayer S, et al. Single-cell genomics identifies cell type-specific molecular changes in autism. Science. 2019;364(6441):685-9.</w:t>
      </w:r>
    </w:p>
    <w:p>
      <w:pPr>
        <w:pStyle w:val="Heading2"/>
      </w:pPr>
      <w:r>
        <w:rPr>
          <w:b w:val="0"/>
          <w:i w:val="0"/>
        </w:rPr>
        <w:t>20. Wamsley B, Bicks L, Cheng Y, Kawaguchi R, Quintero D, Margolis M, et al. Molecular cascades and cell type-specific signatures in ASD revealed by single-cell genomics. Science. 2024;384(6698):eadh2602.</w:t>
      </w:r>
    </w:p>
    <w:p>
      <w:pPr>
        <w:pStyle w:val="Heading2"/>
      </w:pPr>
      <w:r>
        <w:rPr>
          <w:b w:val="0"/>
          <w:i w:val="0"/>
        </w:rPr>
        <w:t>21. Wang D, Liu S, Warrell J, Won H, Shi X, Navarro FCP, et al. Comprehensive functional genomic resource and integrative model for the human brain. Science. 2018;362(6420):eaat8464.</w:t>
      </w:r>
    </w:p>
    <w:p>
      <w:pPr>
        <w:pStyle w:val="Heading2"/>
      </w:pPr>
      <w:r>
        <w:rPr>
          <w:b w:val="0"/>
          <w:i w:val="0"/>
        </w:rPr>
        <w:t>22. Hao Y, Hao S, Andersen-Nissen E, Mauck WM 3rd, Zheng S, Butler A, et al. Integrated analysis of multimodal single-cell data. Cell. 2021;184(13):3573-87.e29.</w:t>
      </w:r>
    </w:p>
    <w:p>
      <w:pPr>
        <w:pStyle w:val="Heading2"/>
      </w:pPr>
      <w:r>
        <w:rPr>
          <w:b w:val="0"/>
          <w:i w:val="0"/>
        </w:rPr>
        <w:t>23. Korsunsky I, Millard N, Fan J, Slowikowski K, Zhang F, Wei K, et al. Fast, sensitive and accurate integration of single-cell data with Harmony. Nat Methods. 2019;16(12):1289-96.</w:t>
      </w:r>
    </w:p>
    <w:p>
      <w:pPr>
        <w:pStyle w:val="Heading2"/>
      </w:pPr>
      <w:r>
        <w:rPr>
          <w:b w:val="0"/>
          <w:i w:val="0"/>
        </w:rPr>
        <w:t>24. Jin S, Guerrero-Juarez CF, Zhang L, Chang I, Ramos R, Kuan CH, et al. Inference and analysis of cell-cell communication using CellChat. Nat Commun. 2021;12(1):1088.</w:t>
      </w:r>
    </w:p>
    <w:p>
      <w:pPr>
        <w:pStyle w:val="Heading2"/>
      </w:pPr>
      <w:r>
        <w:rPr>
          <w:b w:val="0"/>
          <w:i w:val="0"/>
        </w:rPr>
        <w:t>25. Badia IMP, Lopez-Fernandez H, Jakt LM, Collado-Torres L, Abugessaisa I, Alam T, et al. decoupleR: ensemble of computational methods to infer biological activities from omics data. Bioinform Adv. 2022;2(1):vbac016.</w:t>
      </w:r>
    </w:p>
    <w:p>
      <w:pPr>
        <w:pStyle w:val="Heading2"/>
      </w:pPr>
      <w:r>
        <w:rPr>
          <w:b w:val="0"/>
          <w:i w:val="0"/>
        </w:rPr>
        <w:t>26. Garcia-Alonso L, Holland CH, Ibrahim MM, Turei D, Saez-Rodriguez J. Benchmark and integration of resources for the estimation of human transcription factor activities. Genome Res. 2019;29(8):1363-75.</w:t>
      </w:r>
    </w:p>
    <w:p>
      <w:pPr>
        <w:pStyle w:val="Heading2"/>
      </w:pPr>
      <w:r>
        <w:rPr>
          <w:b w:val="0"/>
          <w:i w:val="0"/>
        </w:rPr>
        <w:t>27. Uhlen M, Fagerberg L, Hallstrom BM, Lindskog C, Oksvold P, Mardinoglu A, et al. Tissue-based map of the human proteome. Science. 2015;347(6220):1260419.</w:t>
      </w:r>
    </w:p>
    <w:p>
      <w:pPr>
        <w:pStyle w:val="Heading2"/>
      </w:pPr>
      <w:r>
        <w:rPr>
          <w:b w:val="0"/>
          <w:i w:val="0"/>
        </w:rPr>
        <w:t>28. Hawrylycz MJ, Lein ES, Guillozet-Bongaarts AL, Shen EH, Ng L, Miller JA, et al. An anatomically comprehensive atlas of the adult human brain transcriptome. Nature. 2012;489(7416):391-9.</w:t>
      </w:r>
    </w:p>
    <w:p>
      <w:pPr>
        <w:pStyle w:val="Heading2"/>
      </w:pPr>
      <w:r>
        <w:rPr>
          <w:b w:val="0"/>
          <w:i w:val="0"/>
        </w:rPr>
        <w:t>29. Szklarczyk D, Gable AL, Nastou KC, Lyon D, Kirsch R, Pyysalo S, et al. The STRING database in 2021: customizable protein-protein networks, and functional characterization of user-uploaded gene or measurement sets. Nucleic Acids Res. 2021;49(D1):D605-12.</w:t>
      </w:r>
    </w:p>
    <w:p>
      <w:pPr>
        <w:pStyle w:val="Heading2"/>
      </w:pPr>
      <w:r>
        <w:rPr>
          <w:b w:val="0"/>
          <w:i w:val="0"/>
        </w:rPr>
        <w:t>30. Robinson MD, McCarthy DJ, Smyth GK. edgeR: a Bioconductor package for differential expression analysis of digital gene expression data. Bioinformatics. 2010;26(1):139-40.</w:t>
      </w:r>
    </w:p>
    <w:p>
      <w:pPr>
        <w:pStyle w:val="Heading2"/>
      </w:pPr>
      <w:r>
        <w:rPr>
          <w:b w:val="0"/>
          <w:i w:val="0"/>
        </w:rPr>
        <w:t>31. Law CW, Chen Y, Shi W, Smyth GK. voom: precision weights unlock linear model analysis tools for RNA-seq read counts. Genome Biol. 2014;15(2):R29.</w:t>
      </w:r>
    </w:p>
    <w:p>
      <w:pPr>
        <w:pStyle w:val="Heading2"/>
      </w:pPr>
      <w:r>
        <w:rPr>
          <w:b w:val="0"/>
          <w:i w:val="0"/>
        </w:rPr>
        <w:t>32. Ritchie ME, Phipson B, Wu D, Hu Y, Law CW, Shi W, et al. limma powers differential expression analyses for RNA-sequencing and microarray studies. Nucleic Acids Res. 2015;43(7):e47.</w:t>
      </w:r>
    </w:p>
    <w:p>
      <w:pPr>
        <w:pStyle w:val="Heading2"/>
      </w:pPr>
      <w:r>
        <w:rPr>
          <w:b w:val="0"/>
          <w:i w:val="0"/>
        </w:rPr>
        <w:t>33. Scott-Hewitt N, Perrucci F, Morini R, Erreni M, Mahoney M, Witkowska A, et al. Local externalization of phosphatidylserine mediates developmental synaptic pruning by microglia. EMBO J. 2020;39(16):e105380.</w:t>
      </w:r>
    </w:p>
    <w:p>
      <w:pPr>
        <w:pStyle w:val="Heading2"/>
      </w:pPr>
      <w:r>
        <w:rPr>
          <w:b w:val="0"/>
          <w:i w:val="0"/>
        </w:rPr>
        <w:t>34. Pardo CA, Vargas DL, Zimmerman AW. Immunity, neuroglia and neuroinflammation in autism. Int Rev Psychiatry. 2005;17(6):485-95.</w:t>
      </w:r>
    </w:p>
    <w:p>
      <w:pPr>
        <w:pStyle w:val="Heading2"/>
      </w:pPr>
      <w:r>
        <w:rPr>
          <w:b w:val="0"/>
          <w:i w:val="0"/>
        </w:rPr>
        <w:t>35. Vargas DL, Nascimbene C, Krishnan C, Zimmerman AW, Pardo CA. Neuroglial activation and neuroinflammation in the brain of patients with autism. Ann Neurol. 2005;57(1):67-81.</w:t>
      </w:r>
    </w:p>
    <w:p>
      <w:pPr>
        <w:pStyle w:val="Heading2"/>
      </w:pPr>
      <w:r>
        <w:rPr>
          <w:b w:val="0"/>
          <w:i w:val="0"/>
        </w:rPr>
        <w:t>36. Crowell HL, Soneson C, Germain PL, Calini D, Collin L, Raposo C, et al. muscat detects subpopulation-specific state transitions from multi-sample multi-condition single-cell transcriptomics data. Nat Commun. 2020;11(1):6077.</w:t>
      </w:r>
    </w:p>
    <w:p>
      <w:pPr>
        <w:pStyle w:val="Heading2"/>
      </w:pPr>
      <w:r>
        <w:rPr>
          <w:b w:val="0"/>
          <w:i w:val="0"/>
        </w:rPr>
        <w:t>37. Junttila S, Syvänen S, Nättinen J, Matikainen S, Lähdesmäki H. Benchmarking methods for detecting differential states between conditions from multi-subject single-cell RNA-seq data. Brief Bioinform. 2022;23(5):bbac425.</w:t>
      </w:r>
    </w:p>
    <w:p>
      <w:pPr>
        <w:pStyle w:val="Heading2"/>
      </w:pPr>
      <w:r>
        <w:rPr>
          <w:b w:val="0"/>
          <w:i w:val="0"/>
        </w:rPr>
        <w:t>38. Squair JW, Gautier M, Kathe C, Anderson MA, James ND, Hutson TH, et al. Confronting false discoveries in single-cell differential expression. Nat Commun. 2021;12(1):5692.</w:t>
      </w:r>
    </w:p>
    <w:p>
      <w:pPr>
        <w:pStyle w:val="Heading2"/>
      </w:pPr>
      <w:r>
        <w:rPr>
          <w:b w:val="0"/>
          <w:i w:val="0"/>
        </w:rPr>
        <w:t>39. Thrupp N, Sala Frigerio C, Wolfs L, Skene NG, Fattorelli N, Poovathingal S, et al. Single-Nucleus RNA-Seq Is Not Suitable for Detection of Microglial Activation Genes in Humans. Cell Rep. 2020;32(13):108189.</w:t>
      </w:r>
    </w:p>
    <w:p>
      <w:pPr>
        <w:pStyle w:val="Heading2"/>
      </w:pPr>
      <w:r>
        <w:rPr>
          <w:b w:val="0"/>
          <w:i w:val="0"/>
        </w:rPr>
        <w:t>40. Zheng GXY, Terry JM, Belgrader P, Ryvkin P, Bent ZW, Wilson R, et al. Massively parallel digital transcriptional profiling of single cells. Nat Commun. 2017;8:14049.</w:t>
      </w:r>
    </w:p>
    <w:p>
      <w:pPr>
        <w:pStyle w:val="Heading1"/>
      </w:pPr>
      <w:r>
        <w:rPr>
          <w:b w:val="0"/>
          <w:i w:val="0"/>
        </w:rPr>
        <w:t>Figure legends</w:t>
      </w:r>
    </w:p>
    <w:p>
      <w:pPr>
        <w:pStyle w:val="Heading2"/>
      </w:pPr>
      <w:r>
        <w:rPr>
          <w:b w:val="0"/>
          <w:i w:val="0"/>
        </w:rPr>
        <w:t>Figure 1. Stringent all-cluster auditing narrows the discovery microglial object to a retained core compartment comprising clusters 0 and 2.</w:t>
      </w:r>
    </w:p>
    <w:p>
      <w:pPr/>
      <w:r/>
      <w:r>
        <w:t>(A) UMAP visualization of the reclustered discovery microglial object, colored by cluster identity. Panels A and B are based on the same audited discovery-stage microglial object comprising 34,945 cells from 60 donors across 19 clusters, including 12,951 cells from 29 control donors and 21,994 cells from 31 ASD donors. This panel represents the full set of candidate clusters subjected to downstream audit rather than a set of pre-accepted biological states. (B) Dot plot of representative lineage and background markers across all discovery clusters shown in panel A. Microglial identity markers remained concentrated in a subset of clusters, whereas several other clusters showed marker patterns consistent with neuronal/synaptic, astrocytic, oligodendroglial, OPC-like, endothelial/vascular, or lymphoid background. (C) Summary of cluster-level audit and retention decisions. Clusters were evaluated according to microglial identity, non-microglial background, donor representation, and overall interpretability. Only clusters 0 and 2 were retained for conservative downstream analysis. (D) UMAP of the strict retained core microglial compartment after exclusion of non-retained clusters, showing that all subsequent analyses were restricted to clusters 0 and 2. Panels D and E are based on the strict retained-core object comprising 13,985 cells from 59 donors across 2 retained clusters, including 4,226 cells from 28 control donors and 9,759 cells from 31 ASD donors. A clean UMAP embedding was recomputed within the retained object for visualization. (E) Donor-level representation of retained clusters 0 and 2 across the discovery cohort, shown as within-donor proportions in control (n = 28 donors) and ASD (n = 31 donors) samples. Both retained clusters were represented across multiple donors rather than being driven by a single sample. Together, these panels establish the retained-core microglial analytical space used for all downstream state-definition, disease-association, and validation analyses.</w:t>
      </w:r>
    </w:p>
    <w:p>
      <w:pPr>
        <w:pStyle w:val="Heading2"/>
      </w:pPr>
      <w:r>
        <w:rPr>
          <w:b w:val="0"/>
          <w:i w:val="0"/>
        </w:rPr>
        <w:t>Figure 2. Donor-level analyses support modest shift toward the cluster 2 side of the retained core.</w:t>
      </w:r>
    </w:p>
    <w:p>
      <w:pPr/>
      <w:r>
        <w:rPr>
          <w:b w:val="0"/>
          <w:i w:val="0"/>
        </w:rPr>
        <w:t>(A) Dot plot showing representative program genes that distinguish the two retained discovery clusters. Cluster 0 is reference-like, whereas cluster 2 is candidate-state-like and remodeling-shifted. Dot size indicates the percentage of cells expressing each gene, and color indicates average scaled expression. (B) Cell-level distributions of the candidate-state score, reference-like score, and candidate-minus-reference score across diagnostic groups. These panels are shown as descriptive background context rather than the primary inferential level. (C) Donor-level candidate-minus-reference scores within the retained microglial core, showing a higher donor mean shift toward the candidate-state program in ASD. Each point represents one donor. (D1) Donor-level proportion of cluster 2 cells within the retained core. (D2) Donor-level relative enrichment of cluster 2 over cluster 0, quantified as the log2-transformed cluster 2/cluster 0 ratio. (E) Summary forest plot of direction-aligned donor-level ASD effects across prespecified retained-core metrics, including candidate-minus-reference score, candidate-state score, lower reference-like score, cluster 2 proportion, and log2(cluster 2/cluster 0). Positive values indicate effects aligned with a stronger ASD shift toward the candidate-state program. Points represent standardized effect estimates, and horizontal lines indicate 95% confidence intervals.</w:t>
      </w:r>
    </w:p>
    <w:p>
      <w:pPr>
        <w:pStyle w:val="Heading2"/>
      </w:pPr>
      <w:r>
        <w:rPr>
          <w:b w:val="0"/>
          <w:i w:val="0"/>
        </w:rPr>
        <w:t>Figure 3. Discovery-stage donor-aware analyses support modest cluster 2 enrichment but not robust diagnosis-enhanced internal state shift.</w:t>
      </w:r>
    </w:p>
    <w:p>
      <w:pPr/>
      <w:r>
        <w:rPr>
          <w:b w:val="0"/>
          <w:i w:val="0"/>
        </w:rPr>
        <w:t>(A) Donor-level proportion of cluster 2 cells within the retained microglial core in control and ASD samples. ASD showed a modest upward shift in cluster 2 representation at the donor level. (B) Donor-level relative enrichment of cluster 2 over cluster 0, quantified as the log2(cluster 2/cluster 0) ratio. This composition metric likewise showed a modest upward shift in ASD. (C) Volcano plot from the donor-paired pseudobulk delta model testing whether the internal cluster 2-minus-cluster 0 transcriptional contrast was further enhanced in ASD. Each point represents one gene. No genes passed the prespecified false-discovery threshold in this paired comparison, indicating that the retained-core signal was more consistent with modest abundance/composition shift than with robust diagnosis-enhanced internal state amplification.</w:t>
      </w:r>
    </w:p>
    <w:p>
      <w:pPr>
        <w:pStyle w:val="Heading2"/>
      </w:pPr>
      <w:r>
        <w:rPr>
          <w:b w:val="0"/>
          <w:i w:val="0"/>
        </w:rPr>
        <w:t>Figure 4. ASD-associated transcriptional remodeling is detectable across the retained microglial core rather than being confined to cluster 2.</w:t>
      </w:r>
    </w:p>
    <w:p>
      <w:pPr/>
      <w:r>
        <w:rPr>
          <w:b w:val="0"/>
          <w:i w:val="0"/>
        </w:rPr>
        <w:t>(A) Volcano plot of pseudobulk differential expression for pooled retained core microglia comparing ASD and control donors. ASD-upregulated genes included SPP1 and additional remodeling-associated genes linked to myeloid activation, lipid handling, hypoxia/stress adaptation, and inflammatory response, indicating that the retained core as a whole carries detectable disease-associated transcriptional remodeling. (B) Volcano plot of pseudobulk differential expression for retained cluster 0 comparing ASD and control donors. ASD-associated upregulation remained detectable within cluster 0, showing that remodeling-related disease signal was not restricted to the candidate-state side of the retained core. (C) Volcano plot of pseudobulk differential expression for retained cluster 2 comparing ASD and control donors. Together, these panels support ASD-associated transcriptional remodeling across the retained core rather than a model in which cluster 2 alone monopolizes the disease-associated signal.</w:t>
      </w:r>
    </w:p>
    <w:p>
      <w:pPr>
        <w:pStyle w:val="Heading2"/>
      </w:pPr>
      <w:r>
        <w:rPr>
          <w:b w:val="0"/>
          <w:i w:val="0"/>
        </w:rPr>
        <w:t>Figure 5. Cross-cohort validation shows weak mapped-cluster replication but concordant score-based program-level support.</w:t>
      </w:r>
    </w:p>
    <w:p>
      <w:pPr/>
      <w:r>
        <w:rPr>
          <w:b w:val="0"/>
          <w:i w:val="0"/>
        </w:rPr>
        <w:t>(A) Correlation heatmap comparing validation microglial subclusters with discovery clusters 0 and 2. Validation subclusters showed similarity to both retained discovery clusters rather than a single sharply discrete homologous cluster 2 counterpart. (B) Differential preference of validation subclusters for discovery cluster 2 versus cluster 0. Candidate-like preference was present but weak, indicating limited one-to-one mapped-cluster replication. (C) Seven prespecified validation metrics showing directionally concordant score-based support for the candidate/reference remodeling axis. Points indicate effect estimates and horizontal lines indicate 95% confidence intervals. (D) Leave-one-metric-out stability analysis showing that aggregate directional support remained stable after omitting each validation metric in turn. Together, these panels support coherent program-level validation without strong mapped-cluster replication. Across the finalized figure set, retained cluster 0 and retained cluster 2 should be shown with the same colors wherever they are directly compared, while non-retained or background clusters should remain muted for visual consistency.</w:t>
      </w:r>
    </w:p>
    <w:p>
      <w:pPr>
        <w:pStyle w:val="Heading2"/>
      </w:pPr>
      <w:r>
        <w:rPr>
          <w:b w:val="0"/>
          <w:i w:val="0"/>
        </w:rPr>
        <w:t>Figure 6. Independent bulk-cortex validation in the Gandal 2022 cohort supports the same candidate/reference remodeling axis.</w:t>
      </w:r>
    </w:p>
    <w:p>
      <w:pPr/>
      <w:r>
        <w:rPr>
          <w:b w:val="0"/>
          <w:i w:val="0"/>
        </w:rPr>
        <w:t>(A) Sample-level candidate-program scores in bulk cortical transcriptomes from control and ASD samples in the Gandal 2022 cohort. The candidate-program score was higher in ASD, consistent with the discovery-prioritized direction. (B) Sample-level reference-program scores in the same cohort. The reference-program score was lower in ASD, again matching the expected direction of the retained-core candidate/reference axis. (C) Sample-level candidate-minus-reference composite scores. This composite measure was higher in ASD and provided the strongest single summary of the same remodeling axis in the external bulk dataset. In panels A-C, violin plots show score distributions, points indicate individual samples, and inset statistics summarize mixed-model effect estimates, nominal P values, and FDR-adjusted significance. (D) Leave-one-region-out sensitivity analysis for the candidate-program score. Each point shows the ASD-versus-control effect estimate after omitting one cortical region at a time. (E) Leave-one-region-out sensitivity analysis for the reference-program score. (F) Leave-one-region-out sensitivity analysis for the candidate-minus-reference composite score. Across all three leave-one-region-out analyses, effect directions remained stable, indicating that the external bulk-cortex validation signal was not driven by any single cortical region.</w:t>
      </w:r>
    </w:p>
    <w:p>
      <w:pPr>
        <w:pStyle w:val="Heading1"/>
      </w:pPr>
      <w:r>
        <w:rPr>
          <w:b w:val="0"/>
          <w:i w:val="0"/>
        </w:rPr>
        <w:t>Supplementary materials note</w:t>
      </w:r>
    </w:p>
    <w:p>
      <w:pPr/>
      <w:r>
        <w:rPr>
          <w:b w:val="0"/>
          <w:i w:val="0"/>
        </w:rPr>
        <w:t>Supplementary Figure S1-S5 titles and legends should be placed below the corresponding figures in Supplementary File 1, consistent with the editor's request. Supplementary Tables S1-S10 are provided in the master workbook and are cited in the main text at the relevant locations.</w:t>
      </w:r>
    </w:p>
    <w:p>
      <w:pPr>
        <w:pStyle w:val="Heading1"/>
      </w:pPr>
      <w:r>
        <w:rPr>
          <w:b w:val="0"/>
          <w:i w:val="0"/>
        </w:rPr>
        <w:t>Supplementary Figure S5 title</w:t>
      </w:r>
    </w:p>
    <w:p>
      <w:pPr/>
      <w:r>
        <w:rPr>
          <w:b w:val="0"/>
          <w:i w:val="0"/>
        </w:rPr>
        <w:t>Supplementary Figure S5. Workflow overview of the retained-core discovery, cross-cohort validation, and external bulk-cortex analysis framework</w:t>
      </w:r>
    </w:p>
    <w:p>
      <w:pPr>
        <w:pStyle w:val="Heading1"/>
      </w:pPr>
      <w:r>
        <w:rPr>
          <w:b w:val="0"/>
          <w:i w:val="0"/>
        </w:rPr>
        <w:t>Supplementary Figure S5 legend</w:t>
      </w:r>
    </w:p>
    <w:p>
      <w:pPr/>
      <w:r>
        <w:rPr>
          <w:b w:val="0"/>
          <w:i w:val="0"/>
        </w:rPr>
        <w:t>Supplementary Figure S5. Workflow overview of the retained-core discovery, cross-cohort validation, and external bulk-cortex analysis framework.</w:t>
      </w:r>
    </w:p>
    <w:p>
      <w:pPr/>
      <w:r>
        <w:rPr>
          <w:b w:val="0"/>
          <w:i w:val="0"/>
        </w:rPr>
        <w:t>The schematic summarizes the full analytic workflow used in this study. The left panel shows discovery-stage processing in the PsychENCODE/Wamsley cortical resource, including global cortical cell-type context, microglial extraction, all-cluster audit, retained-core restriction to clusters 0 and 2, donor-level abundance/composition analyses, donor-paired internal-state testing, and pseudobulk differential-expression analyses. The middle panel shows cross-cohort validation in the Velmeshev single-nucleus dataset, including validation microglia extraction, reclustering, weak mapped-cluster comparison to discovery clusters 0 and 2, frozen candidate/reference program scoring, seven prespecified score-based metrics, and directional-concordance robustness analyses. The right panel shows independent external validation in the Gandal 2022 bulk-cortex dataset, including projection of frozen candidate and reference programs, candidate-minus-reference scoring, mixed-model diagnosis testing, and leave-one-region-out sensitivity analysis. Supplementary perturbation-based and TF-prioritization analyses are shown as downstream mechanistic-context layers rather than as primary evidence.</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5406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7562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5406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