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A6AB3" w:rsidRPr="00FA6AB3" w:rsidRDefault="00FA6AB3" w:rsidP="00FA6AB3">
      <w:pPr>
        <w:widowControl/>
        <w:spacing w:before="100" w:beforeAutospacing="1" w:after="100" w:afterAutospacing="1" w:line="240" w:lineRule="auto"/>
        <w:outlineLvl w:val="0"/>
        <w:rPr>
          <w:rFonts w:ascii="宋体" w:eastAsia="宋体" w:hAnsi="宋体" w:cs="宋体"/>
          <w:b/>
          <w:bCs/>
          <w:kern w:val="36"/>
          <w:sz w:val="48"/>
          <w:szCs w:val="48"/>
          <w14:ligatures w14:val="none"/>
        </w:rPr>
      </w:pPr>
      <w:r w:rsidRPr="00FA6AB3">
        <w:rPr>
          <w:rFonts w:ascii="宋体" w:eastAsia="宋体" w:hAnsi="宋体" w:cs="宋体"/>
          <w:b/>
          <w:bCs/>
          <w:kern w:val="36"/>
          <w:sz w:val="48"/>
          <w:szCs w:val="48"/>
          <w14:ligatures w14:val="none"/>
        </w:rPr>
        <w:t>1. Introduction</w:t>
      </w:r>
    </w:p>
    <w:p w:rsidR="00FA6AB3" w:rsidRPr="00FA6AB3" w:rsidRDefault="00FA6AB3" w:rsidP="00FA6AB3">
      <w:pPr>
        <w:widowControl/>
        <w:spacing w:before="100" w:beforeAutospacing="1" w:after="100" w:afterAutospacing="1" w:line="240" w:lineRule="auto"/>
        <w:rPr>
          <w:rFonts w:ascii="宋体" w:eastAsia="宋体" w:hAnsi="宋体" w:cs="宋体"/>
          <w:kern w:val="0"/>
          <w:sz w:val="24"/>
          <w14:ligatures w14:val="none"/>
        </w:rPr>
      </w:pPr>
      <w:r w:rsidRPr="00FA6AB3">
        <w:rPr>
          <w:rFonts w:ascii="宋体" w:eastAsia="宋体" w:hAnsi="宋体" w:cs="宋体"/>
          <w:kern w:val="0"/>
          <w:sz w:val="24"/>
          <w14:ligatures w14:val="none"/>
        </w:rPr>
        <w:t>Autism spectrum disorder (ASD) is a heterogeneous neurodevelopmental condition characterized by persistent difficulties in social communication and restricted or repetitive patterns of behavior. Although ASD is clinically diverse, convergent evidence from genetics, transcriptomics, and systems neuroscience suggests that multiple etiologic factors may act through a limited number of vulnerable biological processes, including cortical circuit maturation, synaptic remodeling, and cell-type-specific immune signaling. Large-scale human genetic studies have linked ASD risk to genes involved in synaptic organization, neuronal development, chromatin regulation, and activity-dependent transcription, while postmortem transcriptomic studies have further suggested that these molecular perturbations may converge on selective cell populations in the cerebral cortex. Together, these observations support the idea that ASD pathophysiology may be better understood through convergent cellular programs rather than through single-gene or single-pathway models alone.</w:t>
      </w:r>
    </w:p>
    <w:p w:rsidR="00FA6AB3" w:rsidRPr="00FA6AB3" w:rsidRDefault="00FA6AB3" w:rsidP="00FA6AB3">
      <w:pPr>
        <w:widowControl/>
        <w:spacing w:before="100" w:beforeAutospacing="1" w:after="100" w:afterAutospacing="1" w:line="240" w:lineRule="auto"/>
        <w:rPr>
          <w:rFonts w:ascii="宋体" w:eastAsia="宋体" w:hAnsi="宋体" w:cs="宋体"/>
          <w:kern w:val="0"/>
          <w:sz w:val="24"/>
          <w14:ligatures w14:val="none"/>
        </w:rPr>
      </w:pPr>
      <w:r w:rsidRPr="00FA6AB3">
        <w:rPr>
          <w:rFonts w:ascii="宋体" w:eastAsia="宋体" w:hAnsi="宋体" w:cs="宋体"/>
          <w:kern w:val="0"/>
          <w:sz w:val="24"/>
          <w14:ligatures w14:val="none"/>
        </w:rPr>
        <w:t>Microglia are central regulators of brain homeostasis and are increasingly implicated in neurodevelopmental disorders. During development, microglia participate in synaptic refinement, phagocytic clearance, trophic support, and immune surveillance. These functions are tightly controlled by local circuit activity, complement signaling, phosphatidylserine exposure, and receptor-mediated engulfment pathways. Experimental studies in animal models have shown that disrupted microglia-synapse interactions can alter neural circuit maturation and behavioral phenotypes relevant to neurodevelopmental disease. In ASD, human imaging, neuropathological observations, and transcriptomic studies have all suggested that microglial abnormalities may be present, but the nature, specificity, and disease relevance of the implicated microglial states remain incompletely resolved.</w:t>
      </w:r>
    </w:p>
    <w:p w:rsidR="00FA6AB3" w:rsidRPr="00FA6AB3" w:rsidRDefault="00FA6AB3" w:rsidP="00FA6AB3">
      <w:pPr>
        <w:widowControl/>
        <w:spacing w:before="100" w:beforeAutospacing="1" w:after="100" w:afterAutospacing="1" w:line="240" w:lineRule="auto"/>
        <w:rPr>
          <w:rFonts w:ascii="宋体" w:eastAsia="宋体" w:hAnsi="宋体" w:cs="宋体"/>
          <w:kern w:val="0"/>
          <w:sz w:val="24"/>
          <w14:ligatures w14:val="none"/>
        </w:rPr>
      </w:pPr>
      <w:r w:rsidRPr="00FA6AB3">
        <w:rPr>
          <w:rFonts w:ascii="宋体" w:eastAsia="宋体" w:hAnsi="宋体" w:cs="宋体"/>
          <w:kern w:val="0"/>
          <w:sz w:val="24"/>
          <w14:ligatures w14:val="none"/>
        </w:rPr>
        <w:t xml:space="preserve">Recent advances in single-cell and single-nucleus transcriptomics have created new opportunities to dissect microglial heterogeneity in the human brain. However, interpreting microglial substructure in postmortem human cortex remains challenging. Compared with more abundant neuronal and glial populations, microglia are relatively rare, and microglia-enriched subsets can be especially sensitive to residual ambient RNA, doublets, dissociation-related stress, and partial admixture from neighboring cell types. These issues are particularly important when many small clusters are recovered from a </w:t>
      </w:r>
      <w:r w:rsidRPr="00FA6AB3">
        <w:rPr>
          <w:rFonts w:ascii="宋体" w:eastAsia="宋体" w:hAnsi="宋体" w:cs="宋体"/>
          <w:kern w:val="0"/>
          <w:sz w:val="24"/>
          <w14:ligatures w14:val="none"/>
        </w:rPr>
        <w:lastRenderedPageBreak/>
        <w:t>reclustered object and then interpreted as distinct biological states. In such settings, apparent state-specific markers may partly reflect neuronal, vascular, lymphoid, or stress-related background rather than bona fide microglial diversification. As a result, biologically strong language can become disconnected from the actual stability of the underlying donor-level signal.</w:t>
      </w:r>
    </w:p>
    <w:p w:rsidR="00FA6AB3" w:rsidRPr="00FA6AB3" w:rsidRDefault="00FA6AB3" w:rsidP="00FA6AB3">
      <w:pPr>
        <w:widowControl/>
        <w:spacing w:before="100" w:beforeAutospacing="1" w:after="100" w:afterAutospacing="1" w:line="240" w:lineRule="auto"/>
        <w:rPr>
          <w:rFonts w:ascii="宋体" w:eastAsia="宋体" w:hAnsi="宋体" w:cs="宋体"/>
          <w:kern w:val="0"/>
          <w:sz w:val="24"/>
          <w14:ligatures w14:val="none"/>
        </w:rPr>
      </w:pPr>
      <w:r w:rsidRPr="00FA6AB3">
        <w:rPr>
          <w:rFonts w:ascii="宋体" w:eastAsia="宋体" w:hAnsi="宋体" w:cs="宋体"/>
          <w:kern w:val="0"/>
          <w:sz w:val="24"/>
          <w14:ligatures w14:val="none"/>
        </w:rPr>
        <w:t>A second challenge is the tendency to infer disease association from cell-level comparisons without adequately accounting for donor structure. In human postmortem studies, cells are nested within donors, and failure to respect this dependency can inflate statistical confidence and exaggerate the apparent specificity of disease-associated states. For this reason, donor-aware analyses, including pseudobulk and paired within-donor comparisons, are essential for distinguishing robust disease-related patterns from cluster-level impressions driven by unequal cellular sampling. This issue is particularly relevant when attempting to define a disease-enriched microglial state, because an apparent increase in one cluster may reflect broader remodeling across retained microglia rather than a specific diagnosis-enhanced shift toward a single subtype.</w:t>
      </w:r>
    </w:p>
    <w:p w:rsidR="00FA6AB3" w:rsidRPr="00FA6AB3" w:rsidRDefault="00FA6AB3" w:rsidP="00FA6AB3">
      <w:pPr>
        <w:widowControl/>
        <w:spacing w:before="100" w:beforeAutospacing="1" w:after="100" w:afterAutospacing="1" w:line="240" w:lineRule="auto"/>
        <w:rPr>
          <w:rFonts w:ascii="宋体" w:eastAsia="宋体" w:hAnsi="宋体" w:cs="宋体"/>
          <w:kern w:val="0"/>
          <w:sz w:val="24"/>
          <w14:ligatures w14:val="none"/>
        </w:rPr>
      </w:pPr>
      <w:r w:rsidRPr="00FA6AB3">
        <w:rPr>
          <w:rFonts w:ascii="宋体" w:eastAsia="宋体" w:hAnsi="宋体" w:cs="宋体"/>
          <w:kern w:val="0"/>
          <w:sz w:val="24"/>
          <w14:ligatures w14:val="none"/>
        </w:rPr>
        <w:t>In the present study, we revisited cortical microglial heterogeneity in ASD through a conservative re-analysis framework. Rather than assuming that all clusters recovered from a reclustered microglial object represent bona fide microglial states, we first performed an all-cluster audit and contaminant-aware lineage assessment. We then restricted subsequent analyses to the retained core microglial compartment and re-evaluated state structure, residual background, donor-aware abundance, and donor-level disease association. This framework was designed to separate reproducible microglial state architecture from artifacts introduced by cluster over-interpretation, non-microglial admixture, and non-independent cell-level inference.</w:t>
      </w:r>
    </w:p>
    <w:p w:rsidR="00FA6AB3" w:rsidRPr="00FA6AB3" w:rsidRDefault="00FA6AB3" w:rsidP="00FA6AB3">
      <w:pPr>
        <w:widowControl/>
        <w:spacing w:before="100" w:beforeAutospacing="1" w:after="100" w:afterAutospacing="1" w:line="240" w:lineRule="auto"/>
        <w:rPr>
          <w:rFonts w:ascii="宋体" w:eastAsia="宋体" w:hAnsi="宋体" w:cs="宋体"/>
          <w:kern w:val="0"/>
          <w:sz w:val="24"/>
          <w14:ligatures w14:val="none"/>
        </w:rPr>
      </w:pPr>
      <w:r w:rsidRPr="00FA6AB3">
        <w:rPr>
          <w:rFonts w:ascii="宋体" w:eastAsia="宋体" w:hAnsi="宋体" w:cs="宋体"/>
          <w:kern w:val="0"/>
          <w:sz w:val="24"/>
          <w14:ligatures w14:val="none"/>
        </w:rPr>
        <w:t xml:space="preserve">Using this approach, we found that the original reclustered object could not be interpreted as a collection of multiple equally credible microglial states. After stringent audit, only two clusters were retained as core microglia-containing populations. Within this retained compartment, one cluster was most consistently interpreted as a microglia-retaining, activation/remodeling-shifted candidate state, whereas the other showed stronger neuronal/synaptic background and served as a more reference-like comparison population. We then asked whether this candidate state showed donor-aware disease association in ASD and whether disease-related transcriptional </w:t>
      </w:r>
      <w:r w:rsidRPr="00FA6AB3">
        <w:rPr>
          <w:rFonts w:ascii="宋体" w:eastAsia="宋体" w:hAnsi="宋体" w:cs="宋体"/>
          <w:kern w:val="0"/>
          <w:sz w:val="24"/>
          <w14:ligatures w14:val="none"/>
        </w:rPr>
        <w:lastRenderedPageBreak/>
        <w:t>changes were confined to this state or distributed more broadly across retained core microglia.</w:t>
      </w:r>
    </w:p>
    <w:p w:rsidR="00FA6AB3" w:rsidRPr="00FA6AB3" w:rsidRDefault="00FA6AB3" w:rsidP="00FA6AB3">
      <w:pPr>
        <w:widowControl/>
        <w:spacing w:before="100" w:beforeAutospacing="1" w:after="100" w:afterAutospacing="1" w:line="240" w:lineRule="auto"/>
        <w:rPr>
          <w:rFonts w:ascii="宋体" w:eastAsia="宋体" w:hAnsi="宋体" w:cs="宋体"/>
          <w:kern w:val="0"/>
          <w:sz w:val="24"/>
          <w14:ligatures w14:val="none"/>
        </w:rPr>
      </w:pPr>
      <w:r w:rsidRPr="00FA6AB3">
        <w:rPr>
          <w:rFonts w:ascii="宋体" w:eastAsia="宋体" w:hAnsi="宋体" w:cs="宋体"/>
          <w:kern w:val="0"/>
          <w:sz w:val="24"/>
          <w14:ligatures w14:val="none"/>
        </w:rPr>
        <w:t>By restructuring the analysis in this way, our goal was not to maximize cluster novelty, but to establish a more defensible interpretation of microglial heterogeneity in ASD cortex. This strategy provides a donor-aware basis for evaluating whether candidate microglial states are reproducible, whether their apparent disease association survives conservative modeling, and how such states should be positioned for subsequent cross-cohort validation and mechanistic interpretation.</w:t>
      </w:r>
    </w:p>
    <w:p w:rsidR="00FA6AB3" w:rsidRPr="00FA6AB3" w:rsidRDefault="00FA6AB3" w:rsidP="00FA6AB3">
      <w:pPr>
        <w:widowControl/>
        <w:spacing w:after="0" w:line="240" w:lineRule="auto"/>
        <w:rPr>
          <w:rFonts w:ascii="宋体" w:eastAsia="宋体" w:hAnsi="宋体" w:cs="宋体"/>
          <w:kern w:val="0"/>
          <w:sz w:val="24"/>
          <w14:ligatures w14:val="none"/>
        </w:rPr>
      </w:pPr>
      <w:r w:rsidRPr="00FA6AB3">
        <w:rPr>
          <w:rFonts w:ascii="宋体" w:eastAsia="宋体" w:hAnsi="宋体" w:cs="宋体"/>
          <w:noProof/>
          <w:kern w:val="0"/>
          <w:sz w:val="24"/>
          <w14:ligatures w14:val="none"/>
        </w:rPr>
      </w:r>
      <w:r w:rsidR="00FA6AB3" w:rsidRPr="00FA6AB3">
        <w:rPr>
          <w:rFonts w:ascii="宋体" w:eastAsia="宋体" w:hAnsi="宋体" w:cs="宋体"/>
          <w:noProof/>
          <w:kern w:val="0"/>
          <w:sz w:val="24"/>
          <w14:ligatures w14:val="none"/>
        </w:rPr>
        <w:pict>
          <v:rect id="_x0000_i1025" alt="" style="width:415.3pt;height:.05pt;mso-width-percent:0;mso-height-percent:0;mso-width-percent:0;mso-height-percent:0" o:hralign="center" o:hrstd="t" o:hr="t" fillcolor="#a0a0a0" stroked="f"/>
        </w:pict>
      </w:r>
    </w:p>
    <w:p w:rsidR="00FA6AB3" w:rsidRPr="00FA6AB3" w:rsidRDefault="00FA6AB3" w:rsidP="00FA6AB3">
      <w:pPr>
        <w:widowControl/>
        <w:spacing w:before="100" w:beforeAutospacing="1" w:after="100" w:afterAutospacing="1" w:line="240" w:lineRule="auto"/>
        <w:outlineLvl w:val="0"/>
        <w:rPr>
          <w:rFonts w:ascii="宋体" w:eastAsia="宋体" w:hAnsi="宋体" w:cs="宋体"/>
          <w:b/>
          <w:bCs/>
          <w:kern w:val="36"/>
          <w:sz w:val="48"/>
          <w:szCs w:val="48"/>
          <w14:ligatures w14:val="none"/>
        </w:rPr>
      </w:pPr>
      <w:r w:rsidRPr="00FA6AB3">
        <w:rPr>
          <w:rFonts w:ascii="宋体" w:eastAsia="宋体" w:hAnsi="宋体" w:cs="宋体"/>
          <w:b/>
          <w:bCs/>
          <w:kern w:val="36"/>
          <w:sz w:val="48"/>
          <w:szCs w:val="48"/>
          <w14:ligatures w14:val="none"/>
        </w:rPr>
        <w:t>3.1 Audit of the reclustered microglial object narrows the retained core microglial space to clusters 0 and 2</w:t>
      </w:r>
    </w:p>
    <w:p w:rsidR="00FA6AB3" w:rsidRPr="00FA6AB3" w:rsidRDefault="00FA6AB3" w:rsidP="00FA6AB3">
      <w:pPr>
        <w:widowControl/>
        <w:spacing w:before="100" w:beforeAutospacing="1" w:after="100" w:afterAutospacing="1" w:line="240" w:lineRule="auto"/>
        <w:rPr>
          <w:rFonts w:ascii="宋体" w:eastAsia="宋体" w:hAnsi="宋体" w:cs="宋体"/>
          <w:kern w:val="0"/>
          <w:sz w:val="24"/>
          <w14:ligatures w14:val="none"/>
        </w:rPr>
      </w:pPr>
      <w:r w:rsidRPr="00FA6AB3">
        <w:rPr>
          <w:rFonts w:ascii="宋体" w:eastAsia="宋体" w:hAnsi="宋体" w:cs="宋体"/>
          <w:kern w:val="0"/>
          <w:sz w:val="24"/>
          <w14:ligatures w14:val="none"/>
        </w:rPr>
        <w:t>To reassess the microglial signal in ASD cortex under a more conservative analytical framework, we first revisited the reclustered microglial object at the all-cluster level, rather than assuming that all recovered clusters represented bona fide microglial states. This step was necessary because the original manuscript framework interpreted the reclustered object as containing a specific disease-associated SPP1-centered microglial subtype, an assumption that can be vulnerable to residual contamination, cluster fragmentation, and over-interpretation in human postmortem single-cell data.</w:t>
      </w:r>
    </w:p>
    <w:p w:rsidR="00FA6AB3" w:rsidRPr="00FA6AB3" w:rsidRDefault="00FA6AB3" w:rsidP="00FA6AB3">
      <w:pPr>
        <w:widowControl/>
        <w:spacing w:before="100" w:beforeAutospacing="1" w:after="100" w:afterAutospacing="1" w:line="240" w:lineRule="auto"/>
        <w:rPr>
          <w:rFonts w:ascii="宋体" w:eastAsia="宋体" w:hAnsi="宋体" w:cs="宋体"/>
          <w:kern w:val="0"/>
          <w:sz w:val="24"/>
          <w14:ligatures w14:val="none"/>
        </w:rPr>
      </w:pPr>
      <w:r w:rsidRPr="00FA6AB3">
        <w:rPr>
          <w:rFonts w:ascii="宋体" w:eastAsia="宋体" w:hAnsi="宋体" w:cs="宋体"/>
          <w:kern w:val="0"/>
          <w:sz w:val="24"/>
          <w14:ligatures w14:val="none"/>
        </w:rPr>
        <w:t>Systematic audit of the reclustered object indicated that it should not be interpreted as a collection of uniformly credible microglial states. Instead, multiple clusters showed features more consistent with contaminant lineages, mixed identities, or strong non-microglial background. In particular, several clusters displayed transcriptional features suggestive of lymphoid, endothelial, astrocytic, oligodendroglial, OPC-like, or neuronal-leaning identities, arguing against their retention as core microglial populations. These observations prompted a stricter lineage-aware filtering strategy in which we prioritized only clusters that retained coherent microglial identity while minimizing evidence of overt non-microglial admixture.</w:t>
      </w:r>
    </w:p>
    <w:p w:rsidR="00FA6AB3" w:rsidRPr="00FA6AB3" w:rsidRDefault="00FA6AB3" w:rsidP="00FA6AB3">
      <w:pPr>
        <w:widowControl/>
        <w:spacing w:before="100" w:beforeAutospacing="1" w:after="100" w:afterAutospacing="1" w:line="240" w:lineRule="auto"/>
        <w:rPr>
          <w:rFonts w:ascii="宋体" w:eastAsia="宋体" w:hAnsi="宋体" w:cs="宋体"/>
          <w:kern w:val="0"/>
          <w:sz w:val="24"/>
          <w14:ligatures w14:val="none"/>
        </w:rPr>
      </w:pPr>
      <w:r w:rsidRPr="00FA6AB3">
        <w:rPr>
          <w:rFonts w:ascii="宋体" w:eastAsia="宋体" w:hAnsi="宋体" w:cs="宋体"/>
          <w:kern w:val="0"/>
          <w:sz w:val="24"/>
          <w14:ligatures w14:val="none"/>
        </w:rPr>
        <w:lastRenderedPageBreak/>
        <w:t>After this audit, only clusters 0 and 2 were retained for downstream analysis as the core microglia-containing compartment. This result substantially revised the interpretation of the original reclustered object. Rather than supporting a broad landscape of many distinct microglial states, the data supported a much narrower retained microglial space in which only two clusters were sufficiently credible for conservative donor-aware re-analysis. This reduced framework also provided a clearer basis for subsequent comparisons, because it separated the question of bona fide retained microglial structure from the question of disease association.</w:t>
      </w:r>
    </w:p>
    <w:p w:rsidR="00FA6AB3" w:rsidRPr="00FA6AB3" w:rsidRDefault="00FA6AB3" w:rsidP="00FA6AB3">
      <w:pPr>
        <w:widowControl/>
        <w:spacing w:before="100" w:beforeAutospacing="1" w:after="100" w:afterAutospacing="1" w:line="240" w:lineRule="auto"/>
        <w:rPr>
          <w:rFonts w:ascii="宋体" w:eastAsia="宋体" w:hAnsi="宋体" w:cs="宋体"/>
          <w:kern w:val="0"/>
          <w:sz w:val="24"/>
          <w14:ligatures w14:val="none"/>
        </w:rPr>
      </w:pPr>
      <w:r w:rsidRPr="00FA6AB3">
        <w:rPr>
          <w:rFonts w:ascii="宋体" w:eastAsia="宋体" w:hAnsi="宋体" w:cs="宋体"/>
          <w:kern w:val="0"/>
          <w:sz w:val="24"/>
          <w14:ligatures w14:val="none"/>
        </w:rPr>
        <w:t>Importantly, retention of clusters 0 and 2 did not imply that these two populations were biologically equivalent or equally interpretable. Instead, they defined the minimal analytic space within which the remaining state structure could be evaluated. Subsequent analyses therefore focused on two linked questions: first, whether cluster 2 represented a reproducible microglia-retaining candidate state rather than a contamination-driven artifact; and second, whether any apparent ASD association within this retained compartment reflected a diagnosis-related shift toward cluster 2 specifically, or broader transcriptional remodeling across retained core microglia.</w:t>
      </w:r>
    </w:p>
    <w:p w:rsidR="00FA6AB3" w:rsidRPr="00FA6AB3" w:rsidRDefault="00FA6AB3" w:rsidP="00FA6AB3">
      <w:pPr>
        <w:widowControl/>
        <w:spacing w:before="100" w:beforeAutospacing="1" w:after="100" w:afterAutospacing="1" w:line="240" w:lineRule="auto"/>
        <w:rPr>
          <w:rFonts w:ascii="宋体" w:eastAsia="宋体" w:hAnsi="宋体" w:cs="宋体"/>
          <w:kern w:val="0"/>
          <w:sz w:val="24"/>
          <w14:ligatures w14:val="none"/>
        </w:rPr>
      </w:pPr>
      <w:r w:rsidRPr="00FA6AB3">
        <w:rPr>
          <w:rFonts w:ascii="宋体" w:eastAsia="宋体" w:hAnsi="宋体" w:cs="宋体"/>
          <w:kern w:val="0"/>
          <w:sz w:val="24"/>
          <w14:ligatures w14:val="none"/>
        </w:rPr>
        <w:t>This audit-first step changed the conceptual starting point of the study. Rather than proceeding from the assumption that a specific SPP1+ pathogenic microglial subtype had already been identified, we instead treated the retained clusters as a restricted analytic substrate that required re-definition under donor-aware and contaminant-aware criteria. All downstream abundance, state-definition, and disease-association analyses were therefore performed within this strictly retained core microglial compartment.</w:t>
      </w:r>
    </w:p>
    <w:p w:rsidR="00FA6AB3" w:rsidRPr="00FA6AB3" w:rsidRDefault="00FA6AB3" w:rsidP="00FA6AB3">
      <w:pPr>
        <w:widowControl/>
        <w:spacing w:after="0" w:line="240" w:lineRule="auto"/>
        <w:rPr>
          <w:rFonts w:ascii="宋体" w:eastAsia="宋体" w:hAnsi="宋体" w:cs="宋体"/>
          <w:kern w:val="0"/>
          <w:sz w:val="24"/>
          <w14:ligatures w14:val="none"/>
        </w:rPr>
      </w:pPr>
      <w:r w:rsidRPr="00FA6AB3">
        <w:rPr>
          <w:rFonts w:ascii="宋体" w:eastAsia="宋体" w:hAnsi="宋体" w:cs="宋体"/>
          <w:noProof/>
          <w:kern w:val="0"/>
          <w:sz w:val="24"/>
          <w14:ligatures w14:val="none"/>
        </w:rPr>
      </w:r>
      <w:r w:rsidR="00FA6AB3" w:rsidRPr="00FA6AB3">
        <w:rPr>
          <w:rFonts w:ascii="宋体" w:eastAsia="宋体" w:hAnsi="宋体" w:cs="宋体"/>
          <w:noProof/>
          <w:kern w:val="0"/>
          <w:sz w:val="24"/>
          <w14:ligatures w14:val="none"/>
        </w:rPr>
        <w:pict>
          <v:rect id="_x0000_i1026" alt="" style="width:415.3pt;height:.05pt;mso-width-percent:0;mso-height-percent:0;mso-width-percent:0;mso-height-percent:0" o:hralign="center" o:hrstd="t" o:hr="t" fillcolor="#a0a0a0" stroked="f"/>
        </w:pict>
      </w:r>
    </w:p>
    <w:p w:rsidR="00FA6AB3" w:rsidRPr="00FA6AB3" w:rsidRDefault="00FA6AB3" w:rsidP="00FA6AB3">
      <w:pPr>
        <w:widowControl/>
        <w:spacing w:before="100" w:beforeAutospacing="1" w:after="100" w:afterAutospacing="1" w:line="240" w:lineRule="auto"/>
        <w:rPr>
          <w:rFonts w:ascii="宋体" w:eastAsia="宋体" w:hAnsi="宋体" w:cs="宋体"/>
          <w:kern w:val="0"/>
          <w:sz w:val="24"/>
          <w14:ligatures w14:val="none"/>
        </w:rPr>
      </w:pPr>
      <w:r w:rsidRPr="00FA6AB3">
        <w:rPr>
          <w:rFonts w:ascii="宋体" w:eastAsia="宋体" w:hAnsi="宋体" w:cs="宋体"/>
          <w:kern w:val="0"/>
          <w:sz w:val="24"/>
          <w14:ligatures w14:val="none"/>
        </w:rPr>
        <w:t>如果你认可这版方向，下一条我就继续直接给你：</w:t>
      </w:r>
    </w:p>
    <w:p w:rsidR="00FA6AB3" w:rsidRPr="00FA6AB3" w:rsidRDefault="00FA6AB3" w:rsidP="00FA6AB3">
      <w:pPr>
        <w:widowControl/>
        <w:spacing w:before="100" w:beforeAutospacing="1" w:after="100" w:afterAutospacing="1" w:line="240" w:lineRule="auto"/>
        <w:rPr>
          <w:rFonts w:ascii="宋体" w:eastAsia="宋体" w:hAnsi="宋体" w:cs="宋体"/>
          <w:kern w:val="0"/>
          <w:sz w:val="24"/>
          <w14:ligatures w14:val="none"/>
        </w:rPr>
      </w:pPr>
      <w:r w:rsidRPr="00FA6AB3">
        <w:rPr>
          <w:rFonts w:ascii="宋体" w:eastAsia="宋体" w:hAnsi="宋体" w:cs="宋体"/>
          <w:b/>
          <w:bCs/>
          <w:kern w:val="0"/>
          <w:sz w:val="24"/>
          <w14:ligatures w14:val="none"/>
        </w:rPr>
        <w:t>3.2 完整替换稿</w:t>
      </w:r>
      <w:r w:rsidRPr="00FA6AB3">
        <w:rPr>
          <w:rFonts w:ascii="宋体" w:eastAsia="宋体" w:hAnsi="宋体" w:cs="宋体"/>
          <w:kern w:val="0"/>
          <w:sz w:val="24"/>
          <w14:ligatures w14:val="none"/>
        </w:rPr>
        <w:br/>
        <w:t>题目我建议用：</w:t>
      </w:r>
    </w:p>
    <w:p w:rsidR="00FA6AB3" w:rsidRPr="00FA6AB3" w:rsidRDefault="00FA6AB3" w:rsidP="00FA6AB3">
      <w:pPr>
        <w:widowControl/>
        <w:spacing w:before="100" w:beforeAutospacing="1" w:after="100" w:afterAutospacing="1" w:line="240" w:lineRule="auto"/>
        <w:rPr>
          <w:rFonts w:ascii="宋体" w:eastAsia="宋体" w:hAnsi="宋体" w:cs="宋体"/>
          <w:kern w:val="0"/>
          <w:sz w:val="24"/>
          <w14:ligatures w14:val="none"/>
        </w:rPr>
      </w:pPr>
      <w:r w:rsidRPr="00FA6AB3">
        <w:rPr>
          <w:rFonts w:ascii="宋体" w:eastAsia="宋体" w:hAnsi="宋体" w:cs="宋体"/>
          <w:b/>
          <w:bCs/>
          <w:kern w:val="0"/>
          <w:sz w:val="24"/>
          <w14:ligatures w14:val="none"/>
        </w:rPr>
        <w:t>3.2 Cluster 2 defines a microglia-retaining, activation/remodeling-shifted candidate state, whereas cluster 0 carries stronger neuronal/synaptic background</w:t>
      </w:r>
    </w:p>
    <w:p w:rsidR="00FA6AB3" w:rsidRPr="00FA6AB3" w:rsidRDefault="00FA6AB3" w:rsidP="00FA6AB3">
      <w:pPr>
        <w:widowControl/>
        <w:spacing w:after="0" w:line="240" w:lineRule="auto"/>
        <w:rPr>
          <w:rFonts w:ascii="宋体" w:eastAsia="宋体" w:hAnsi="宋体" w:cs="宋体"/>
          <w:kern w:val="0"/>
          <w:sz w:val="24"/>
          <w14:ligatures w14:val="none"/>
        </w:rPr>
      </w:pPr>
      <w:r w:rsidRPr="00FA6AB3">
        <w:rPr>
          <w:rFonts w:ascii="宋体" w:eastAsia="宋体" w:hAnsi="宋体" w:cs="宋体"/>
          <w:kern w:val="0"/>
          <w:sz w:val="24"/>
          <w14:ligatures w14:val="none"/>
        </w:rPr>
        <w:t>1. Introduction中需要插入文献，和之前差不多，大概三四十篇？把文献的PMID直接插入到内容中</w:t>
      </w:r>
    </w:p>
    <w:p w:rsidR="00FA6AB3" w:rsidRPr="00FA6AB3" w:rsidRDefault="00FA6AB3" w:rsidP="00FA6AB3">
      <w:pPr>
        <w:widowControl/>
        <w:spacing w:before="100" w:beforeAutospacing="1" w:after="100" w:afterAutospacing="1" w:line="240" w:lineRule="auto"/>
        <w:rPr>
          <w:rFonts w:ascii="宋体" w:eastAsia="宋体" w:hAnsi="宋体" w:cs="宋体"/>
          <w:kern w:val="0"/>
          <w:sz w:val="24"/>
          <w14:ligatures w14:val="none"/>
        </w:rPr>
      </w:pPr>
      <w:r w:rsidRPr="00FA6AB3">
        <w:rPr>
          <w:rFonts w:ascii="宋体" w:eastAsia="宋体" w:hAnsi="宋体" w:cs="宋体"/>
          <w:kern w:val="0"/>
          <w:sz w:val="24"/>
          <w14:ligatures w14:val="none"/>
        </w:rPr>
        <w:lastRenderedPageBreak/>
        <w:t>我先去把 Introduction 这版需要的核心文献补齐，优先选能支撑你当前新叙事的“高承重”文献，而不是沿用旧稿那套围着 SPP1 转的引用。接下来我会直接给你一版</w:t>
      </w:r>
      <w:r w:rsidRPr="00FA6AB3">
        <w:rPr>
          <w:rFonts w:ascii="宋体" w:eastAsia="宋体" w:hAnsi="宋体" w:cs="宋体"/>
          <w:b/>
          <w:bCs/>
          <w:kern w:val="0"/>
          <w:sz w:val="24"/>
          <w14:ligatures w14:val="none"/>
        </w:rPr>
        <w:t>带 PMID 内嵌</w:t>
      </w:r>
      <w:r w:rsidRPr="00FA6AB3">
        <w:rPr>
          <w:rFonts w:ascii="宋体" w:eastAsia="宋体" w:hAnsi="宋体" w:cs="宋体"/>
          <w:kern w:val="0"/>
          <w:sz w:val="24"/>
          <w14:ligatures w14:val="none"/>
        </w:rPr>
        <w:t>的 Introduction 完整替换稿。</w:t>
      </w:r>
    </w:p>
    <w:p w:rsidR="00FA6AB3" w:rsidRPr="00FA6AB3" w:rsidRDefault="00FA6AB3" w:rsidP="00FA6AB3">
      <w:pPr>
        <w:widowControl/>
        <w:spacing w:after="0" w:line="240" w:lineRule="auto"/>
        <w:rPr>
          <w:rFonts w:ascii="宋体" w:eastAsia="宋体" w:hAnsi="宋体" w:cs="宋体"/>
          <w:kern w:val="0"/>
          <w:sz w:val="24"/>
          <w14:ligatures w14:val="none"/>
        </w:rPr>
      </w:pPr>
      <w:r w:rsidRPr="00FA6AB3">
        <w:rPr>
          <w:rFonts w:ascii="宋体" w:eastAsia="宋体" w:hAnsi="宋体" w:cs="宋体"/>
          <w:kern w:val="0"/>
          <w:sz w:val="24"/>
          <w14:ligatures w14:val="none"/>
        </w:rPr>
        <w:t>Thought for 3m 43s</w:t>
      </w:r>
    </w:p>
    <w:p w:rsidR="00FA6AB3" w:rsidRPr="00FA6AB3" w:rsidRDefault="00FA6AB3" w:rsidP="00FA6AB3">
      <w:pPr>
        <w:widowControl/>
        <w:spacing w:before="100" w:beforeAutospacing="1" w:after="100" w:afterAutospacing="1" w:line="240" w:lineRule="auto"/>
        <w:rPr>
          <w:rFonts w:ascii="宋体" w:eastAsia="宋体" w:hAnsi="宋体" w:cs="宋体"/>
          <w:kern w:val="0"/>
          <w:sz w:val="24"/>
          <w14:ligatures w14:val="none"/>
        </w:rPr>
      </w:pPr>
      <w:r w:rsidRPr="00FA6AB3">
        <w:rPr>
          <w:rFonts w:ascii="宋体" w:eastAsia="宋体" w:hAnsi="宋体" w:cs="宋体"/>
          <w:kern w:val="0"/>
          <w:sz w:val="24"/>
          <w14:ligatures w14:val="none"/>
        </w:rPr>
        <w:t xml:space="preserve">可以。下面我直接给你一版 </w:t>
      </w:r>
      <w:r w:rsidRPr="00FA6AB3">
        <w:rPr>
          <w:rFonts w:ascii="宋体" w:eastAsia="宋体" w:hAnsi="宋体" w:cs="宋体"/>
          <w:b/>
          <w:bCs/>
          <w:kern w:val="0"/>
          <w:sz w:val="24"/>
          <w14:ligatures w14:val="none"/>
        </w:rPr>
        <w:t>Introduction 完整替换稿</w:t>
      </w:r>
      <w:r w:rsidRPr="00FA6AB3">
        <w:rPr>
          <w:rFonts w:ascii="宋体" w:eastAsia="宋体" w:hAnsi="宋体" w:cs="宋体"/>
          <w:kern w:val="0"/>
          <w:sz w:val="24"/>
          <w14:ligatures w14:val="none"/>
        </w:rPr>
        <w:t xml:space="preserve">，已经把 </w:t>
      </w:r>
      <w:r w:rsidRPr="00FA6AB3">
        <w:rPr>
          <w:rFonts w:ascii="宋体" w:eastAsia="宋体" w:hAnsi="宋体" w:cs="宋体"/>
          <w:b/>
          <w:bCs/>
          <w:kern w:val="0"/>
          <w:sz w:val="24"/>
          <w14:ligatures w14:val="none"/>
        </w:rPr>
        <w:t>PMID 直接内嵌进正文</w:t>
      </w:r>
      <w:r w:rsidRPr="00FA6AB3">
        <w:rPr>
          <w:rFonts w:ascii="宋体" w:eastAsia="宋体" w:hAnsi="宋体" w:cs="宋体"/>
          <w:kern w:val="0"/>
          <w:sz w:val="24"/>
          <w14:ligatures w14:val="none"/>
        </w:rPr>
        <w:t xml:space="preserve">。这一版我先放了 </w:t>
      </w:r>
      <w:r w:rsidRPr="00FA6AB3">
        <w:rPr>
          <w:rFonts w:ascii="宋体" w:eastAsia="宋体" w:hAnsi="宋体" w:cs="宋体"/>
          <w:b/>
          <w:bCs/>
          <w:kern w:val="0"/>
          <w:sz w:val="24"/>
          <w14:ligatures w14:val="none"/>
        </w:rPr>
        <w:t>31 个高承重 PMID</w:t>
      </w:r>
      <w:r w:rsidRPr="00FA6AB3">
        <w:rPr>
          <w:rFonts w:ascii="宋体" w:eastAsia="宋体" w:hAnsi="宋体" w:cs="宋体"/>
          <w:kern w:val="0"/>
          <w:sz w:val="24"/>
          <w14:ligatures w14:val="none"/>
        </w:rPr>
        <w:t>，尽量围绕你现在已经成型的新主线来配文献，而不是继续服务旧稿的 “SPP1+ risk microglia” 叙事。相关 PMID 与文章信息我已据 PubMed 页面核对。</w:t>
      </w:r>
    </w:p>
    <w:p w:rsidR="00FA6AB3" w:rsidRPr="00FA6AB3" w:rsidRDefault="00FA6AB3" w:rsidP="00FA6AB3">
      <w:pPr>
        <w:widowControl/>
        <w:spacing w:after="0" w:line="240" w:lineRule="auto"/>
        <w:rPr>
          <w:rFonts w:ascii="宋体" w:eastAsia="宋体" w:hAnsi="宋体" w:cs="宋体"/>
          <w:kern w:val="0"/>
          <w:sz w:val="24"/>
          <w14:ligatures w14:val="none"/>
        </w:rPr>
      </w:pPr>
      <w:r w:rsidRPr="00FA6AB3">
        <w:rPr>
          <w:rFonts w:ascii="宋体" w:eastAsia="宋体" w:hAnsi="宋体" w:cs="宋体"/>
          <w:noProof/>
          <w:kern w:val="0"/>
          <w:sz w:val="24"/>
          <w14:ligatures w14:val="none"/>
        </w:rPr>
      </w:r>
      <w:r w:rsidR="00FA6AB3" w:rsidRPr="00FA6AB3">
        <w:rPr>
          <w:rFonts w:ascii="宋体" w:eastAsia="宋体" w:hAnsi="宋体" w:cs="宋体"/>
          <w:noProof/>
          <w:kern w:val="0"/>
          <w:sz w:val="24"/>
          <w14:ligatures w14:val="none"/>
        </w:rPr>
        <w:pict>
          <v:rect id="_x0000_i1027" alt="" style="width:415.3pt;height:.05pt;mso-width-percent:0;mso-height-percent:0;mso-width-percent:0;mso-height-percent:0" o:hralign="center" o:hrstd="t" o:hr="t" fillcolor="#a0a0a0" stroked="f"/>
        </w:pict>
      </w:r>
    </w:p>
    <w:p w:rsidR="00FA6AB3" w:rsidRPr="00FA6AB3" w:rsidRDefault="00FA6AB3" w:rsidP="00FA6AB3">
      <w:pPr>
        <w:widowControl/>
        <w:spacing w:before="100" w:beforeAutospacing="1" w:after="100" w:afterAutospacing="1" w:line="240" w:lineRule="auto"/>
        <w:outlineLvl w:val="1"/>
        <w:rPr>
          <w:rFonts w:ascii="宋体" w:eastAsia="宋体" w:hAnsi="宋体" w:cs="宋体"/>
          <w:b/>
          <w:bCs/>
          <w:kern w:val="0"/>
          <w:sz w:val="36"/>
          <w:szCs w:val="36"/>
          <w14:ligatures w14:val="none"/>
        </w:rPr>
      </w:pPr>
      <w:r w:rsidRPr="00FA6AB3">
        <w:rPr>
          <w:rFonts w:ascii="宋体" w:eastAsia="宋体" w:hAnsi="宋体" w:cs="宋体"/>
          <w:b/>
          <w:bCs/>
          <w:kern w:val="0"/>
          <w:sz w:val="36"/>
          <w:szCs w:val="36"/>
          <w14:ligatures w14:val="none"/>
        </w:rPr>
        <w:t>1. Introduction</w:t>
      </w:r>
    </w:p>
    <w:p w:rsidR="00FA6AB3" w:rsidRPr="00FA6AB3" w:rsidRDefault="00FA6AB3" w:rsidP="00FA6AB3">
      <w:pPr>
        <w:widowControl/>
        <w:spacing w:before="100" w:beforeAutospacing="1" w:after="100" w:afterAutospacing="1" w:line="240" w:lineRule="auto"/>
        <w:rPr>
          <w:rFonts w:ascii="宋体" w:eastAsia="宋体" w:hAnsi="宋体" w:cs="宋体"/>
          <w:kern w:val="0"/>
          <w:sz w:val="24"/>
          <w14:ligatures w14:val="none"/>
        </w:rPr>
      </w:pPr>
      <w:r w:rsidRPr="00FA6AB3">
        <w:rPr>
          <w:rFonts w:ascii="宋体" w:eastAsia="宋体" w:hAnsi="宋体" w:cs="宋体"/>
          <w:kern w:val="0"/>
          <w:sz w:val="24"/>
          <w14:ligatures w14:val="none"/>
        </w:rPr>
        <w:t xml:space="preserve">Autism spectrum disorder (ASD) is a heterogeneous neurodevelopmental condition characterized by persistent difficulties in social communication and restricted or repetitive behaviors. Despite marked clinical and genetic heterogeneity, accumulating evidence suggests that diverse ASD risk factors may converge on a limited number of vulnerable biological processes, including cortical circuit maturation, synaptic function, chromatin regulation, and activity-dependent gene expression (PMID: 26402605, 31981491, 35982160, 35982159). Postmortem transcriptomic studies have further shown that this heterogeneity can still yield partially convergent molecular signatures in the cerebral cortex, including coordinated changes in synaptic, splicing, glial, and immune-related programs (PMID: 21614001, 27919067, 36323788). Experimental systems, including human cortical organoids and perturbation models of ASD risk genes, have also supported the concept of convergence at the level of cell-type-specific developmental programs rather than single-gene mechanisms alone (PMID: 30545853, 35110736). In parallel, neuropathological observations from human ASD cortex have pointed to early developmental abnormalities in cortical laminar organization, again favoring models of disrupted circuit assembly over narrowly lesion-centered interpretations (PMID: 24670167). Together, these studies support a framework in which ASD biology is best approached through convergent cellular and developmental programs. </w:t>
      </w:r>
    </w:p>
    <w:p w:rsidR="00FA6AB3" w:rsidRPr="00FA6AB3" w:rsidRDefault="00FA6AB3" w:rsidP="00FA6AB3">
      <w:pPr>
        <w:widowControl/>
        <w:spacing w:before="100" w:beforeAutospacing="1" w:after="100" w:afterAutospacing="1" w:line="240" w:lineRule="auto"/>
        <w:rPr>
          <w:rFonts w:ascii="宋体" w:eastAsia="宋体" w:hAnsi="宋体" w:cs="宋体"/>
          <w:kern w:val="0"/>
          <w:sz w:val="24"/>
          <w14:ligatures w14:val="none"/>
        </w:rPr>
      </w:pPr>
      <w:r w:rsidRPr="00FA6AB3">
        <w:rPr>
          <w:rFonts w:ascii="宋体" w:eastAsia="宋体" w:hAnsi="宋体" w:cs="宋体"/>
          <w:kern w:val="0"/>
          <w:sz w:val="24"/>
          <w14:ligatures w14:val="none"/>
        </w:rPr>
        <w:t xml:space="preserve">Microglia are increasingly considered part of this convergent framework. Beyond their classical immune functions, microglia are now recognized as active participants in brain development, circuit refinement, and experience-dependent plasticity (PMID: 25463024, 22857738). Experimental studies have demonstrated that microglia </w:t>
      </w:r>
      <w:r w:rsidRPr="00FA6AB3">
        <w:rPr>
          <w:rFonts w:ascii="宋体" w:eastAsia="宋体" w:hAnsi="宋体" w:cs="宋体"/>
          <w:kern w:val="0"/>
          <w:sz w:val="24"/>
          <w14:ligatures w14:val="none"/>
        </w:rPr>
        <w:lastRenderedPageBreak/>
        <w:t xml:space="preserve">contribute to developmental synaptic pruning and circuit maturation, including activity-dependent engulfment of synaptic material and complement-associated refinement of developing neural circuits (PMID: 21778362, 22632727, 18083105). Additional work has shown that microglia can remodel synapses through presynaptic trogocytosis, influence learning-dependent synapse formation, and affect functional connectivity and social behavior when neuron–microglia signaling is perturbed (PMID: 29581545, 24360280, 24487234). These observations have made microglia a compelling candidate cell type for neurodevelopmental disorders in which altered circuit maturation, synaptic imbalance, and immune dysregulation coexist. </w:t>
      </w:r>
    </w:p>
    <w:p w:rsidR="00FA6AB3" w:rsidRPr="00FA6AB3" w:rsidRDefault="00FA6AB3" w:rsidP="00FA6AB3">
      <w:pPr>
        <w:widowControl/>
        <w:spacing w:before="100" w:beforeAutospacing="1" w:after="100" w:afterAutospacing="1" w:line="240" w:lineRule="auto"/>
        <w:rPr>
          <w:rFonts w:ascii="宋体" w:eastAsia="宋体" w:hAnsi="宋体" w:cs="宋体"/>
          <w:kern w:val="0"/>
          <w:sz w:val="24"/>
          <w14:ligatures w14:val="none"/>
        </w:rPr>
      </w:pPr>
      <w:r w:rsidRPr="00FA6AB3">
        <w:rPr>
          <w:rFonts w:ascii="宋体" w:eastAsia="宋体" w:hAnsi="宋体" w:cs="宋体"/>
          <w:kern w:val="0"/>
          <w:sz w:val="24"/>
          <w14:ligatures w14:val="none"/>
        </w:rPr>
        <w:t xml:space="preserve">In ASD specifically, interest in microglia has grown substantially, but the precise nature of their involvement remains unresolved. Reviews and experimental studies have linked microglial dysfunction to altered synaptic pruning, excitatory/inhibitory imbalance, and aberrant neuroimmune signaling in ASD-relevant settings (PMID: 26116891, 31601405, 34472455). Human transcriptomic work has also suggested that ASD cortex shows upregulation of glial and immune-related programs alongside downregulation of synaptic pathways, with part of this glial signal mapping to microglia-enriched expression patterns (PMID: 21614001, 26892004, 36323788). More recent single-nucleus studies have further suggested that microglial molecular states may be altered in ASD cortex, although these changes occur in the broader context of widespread neuronal and glial transcriptomic dysregulation rather than as an isolated microglial phenomenon (PMID: 31097668, 32008165, 36945369). Thus, while microglia are clearly relevant to ASD biology, the field still lacks consensus on whether reported microglial clusters represent robust disease-associated states, broader context-dependent remodeling, or mixed signals influenced by technical and biological background. </w:t>
      </w:r>
    </w:p>
    <w:p w:rsidR="00FA6AB3" w:rsidRPr="00FA6AB3" w:rsidRDefault="00FA6AB3" w:rsidP="00FA6AB3">
      <w:pPr>
        <w:widowControl/>
        <w:spacing w:before="100" w:beforeAutospacing="1" w:after="100" w:afterAutospacing="1" w:line="240" w:lineRule="auto"/>
        <w:rPr>
          <w:rFonts w:ascii="宋体" w:eastAsia="宋体" w:hAnsi="宋体" w:cs="宋体"/>
          <w:kern w:val="0"/>
          <w:sz w:val="24"/>
          <w14:ligatures w14:val="none"/>
        </w:rPr>
      </w:pPr>
      <w:r w:rsidRPr="00FA6AB3">
        <w:rPr>
          <w:rFonts w:ascii="宋体" w:eastAsia="宋体" w:hAnsi="宋体" w:cs="宋体"/>
          <w:kern w:val="0"/>
          <w:sz w:val="24"/>
          <w14:ligatures w14:val="none"/>
        </w:rPr>
        <w:t xml:space="preserve">This uncertainty is especially important in the era of large postmortem single-cell and single-nucleus datasets. Resources generated through projects such as PsychENCODE and subsequent multi-omic extensions have greatly expanded the resolution at which cortical cell states can be studied in neuropsychiatric disease (PMID: 26605881, 38815019, 38781369). At the same time, interpretation of rare or reclustered cell populations remains difficult. In postmortem brain tissue, apparent subclusters may be influenced by residual ambient RNA, doublets, dissociation-related stress, unequal donor sampling, and partial admixture from neighboring lineages. These concerns are particularly relevant when a reclustered object is interpreted as containing many distinct </w:t>
      </w:r>
      <w:r w:rsidRPr="00FA6AB3">
        <w:rPr>
          <w:rFonts w:ascii="宋体" w:eastAsia="宋体" w:hAnsi="宋体" w:cs="宋体"/>
          <w:kern w:val="0"/>
          <w:sz w:val="24"/>
          <w14:ligatures w14:val="none"/>
        </w:rPr>
        <w:lastRenderedPageBreak/>
        <w:t xml:space="preserve">biological states and when disease association is inferred directly from non-independent cell-level observations. Recent methodological work has emphasized that, in multi-sample single-cell datasets, donor-aware or sample-level inference is essential for evaluating differential state changes and avoiding pseudoreplicate bias; in such settings, pseudobulk and mixed-model frameworks generally outperform naïve cell-level case–control testing (PMID: 33257685, 35880426). Therefore, strong biological claims about disease-enriched microglial subtypes should ideally be supported not only by cluster visualization and marker expression, but also by contaminant-aware auditing and donor-aware statistical analysis. </w:t>
      </w:r>
    </w:p>
    <w:p w:rsidR="00FA6AB3" w:rsidRPr="00FA6AB3" w:rsidRDefault="00FA6AB3" w:rsidP="00FA6AB3">
      <w:pPr>
        <w:widowControl/>
        <w:spacing w:before="100" w:beforeAutospacing="1" w:after="100" w:afterAutospacing="1" w:line="240" w:lineRule="auto"/>
        <w:rPr>
          <w:rFonts w:ascii="宋体" w:eastAsia="宋体" w:hAnsi="宋体" w:cs="宋体"/>
          <w:kern w:val="0"/>
          <w:sz w:val="24"/>
          <w14:ligatures w14:val="none"/>
        </w:rPr>
      </w:pPr>
      <w:r w:rsidRPr="00FA6AB3">
        <w:rPr>
          <w:rFonts w:ascii="宋体" w:eastAsia="宋体" w:hAnsi="宋体" w:cs="宋体"/>
          <w:kern w:val="0"/>
          <w:sz w:val="24"/>
          <w14:ligatures w14:val="none"/>
        </w:rPr>
        <w:t xml:space="preserve">These issues are particularly relevant for ASD, where disease-associated molecular changes in cortex may be broad, partially shared across cell classes, and variably represented across donors (PMID: 36323788, 36945369). Under these conditions, an apparent increase in a specific microglial cluster does not necessarily imply the existence of a sharply bounded disease-specific subtype; it may instead reflect broader transcriptional remodeling across a retained microglial compartment, together with variation in background contamination or donor composition. A conservative analytic strategy is therefore needed to distinguish bona fide retained microglial state structure from artifacts of cluster fragmentation, lineage admixture, and over-interpretation. </w:t>
      </w:r>
    </w:p>
    <w:p w:rsidR="00FA6AB3" w:rsidRPr="00FA6AB3" w:rsidRDefault="00FA6AB3" w:rsidP="00FA6AB3">
      <w:pPr>
        <w:widowControl/>
        <w:spacing w:before="100" w:beforeAutospacing="1" w:after="100" w:afterAutospacing="1" w:line="240" w:lineRule="auto"/>
        <w:rPr>
          <w:rFonts w:ascii="宋体" w:eastAsia="宋体" w:hAnsi="宋体" w:cs="宋体"/>
          <w:kern w:val="0"/>
          <w:sz w:val="24"/>
          <w14:ligatures w14:val="none"/>
        </w:rPr>
      </w:pPr>
      <w:r w:rsidRPr="00FA6AB3">
        <w:rPr>
          <w:rFonts w:ascii="宋体" w:eastAsia="宋体" w:hAnsi="宋体" w:cs="宋体"/>
          <w:kern w:val="0"/>
          <w:sz w:val="24"/>
          <w14:ligatures w14:val="none"/>
        </w:rPr>
        <w:t xml:space="preserve">In the present study, we revisited cortical microglial heterogeneity in ASD through a stepwise re-analysis framework designed to prioritize interpretability over cluster novelty. Rather than assuming that all clusters within a reclustered microglial object represented credible microglial states, we first performed an all-cluster audit and contaminant-aware lineage assessment. We then restricted downstream analyses to the retained core microglial compartment and re-evaluated state definition, residual background, donor-aware abundance, and donor-level disease association. This strategy was designed to answer three linked questions: whether a reproducible microglia-retaining candidate state could still be identified after strict audit; whether apparent differences between retained clusters were robust to residual neuronal/synaptic background; and whether any ASD-related signal was best interpreted as diagnosis-enhanced state shift or broader disease-associated transcriptional remodeling within retained core microglia. This donor-aware framework provides a more conservative basis for subsequent cross-cohort validation and mechanistic interpretation (PMID: 33257685, 35880426). </w:t>
      </w:r>
    </w:p>
    <w:p w:rsidR="00E96968" w:rsidRPr="00E96968" w:rsidRDefault="00E96968" w:rsidP="00E96968">
      <w:pPr>
        <w:widowControl/>
        <w:spacing w:before="100" w:beforeAutospacing="1" w:after="100" w:afterAutospacing="1" w:line="240" w:lineRule="auto"/>
        <w:outlineLvl w:val="1"/>
        <w:rPr>
          <w:rFonts w:ascii="宋体" w:eastAsia="宋体" w:hAnsi="宋体" w:cs="宋体"/>
          <w:b/>
          <w:bCs/>
          <w:kern w:val="0"/>
          <w:sz w:val="36"/>
          <w:szCs w:val="36"/>
          <w14:ligatures w14:val="none"/>
        </w:rPr>
      </w:pPr>
      <w:r w:rsidRPr="00E96968">
        <w:rPr>
          <w:rFonts w:ascii="宋体" w:eastAsia="宋体" w:hAnsi="宋体" w:cs="宋体"/>
          <w:b/>
          <w:bCs/>
          <w:kern w:val="0"/>
          <w:sz w:val="36"/>
          <w:szCs w:val="36"/>
          <w14:ligatures w14:val="none"/>
        </w:rPr>
        <w:lastRenderedPageBreak/>
        <w:t>3.1 Audit of the reclustered microglial object narrows the retained core microglial space to clusters 0 and 2</w:t>
      </w:r>
    </w:p>
    <w:p w:rsidR="00E96968" w:rsidRPr="00E96968" w:rsidRDefault="00E96968" w:rsidP="00E96968">
      <w:pPr>
        <w:widowControl/>
        <w:spacing w:before="100" w:beforeAutospacing="1" w:after="100" w:afterAutospacing="1" w:line="240" w:lineRule="auto"/>
        <w:rPr>
          <w:rFonts w:ascii="宋体" w:eastAsia="宋体" w:hAnsi="宋体" w:cs="宋体"/>
          <w:kern w:val="0"/>
          <w:sz w:val="24"/>
          <w14:ligatures w14:val="none"/>
        </w:rPr>
      </w:pPr>
      <w:r w:rsidRPr="00E96968">
        <w:rPr>
          <w:rFonts w:ascii="宋体" w:eastAsia="宋体" w:hAnsi="宋体" w:cs="宋体"/>
          <w:kern w:val="0"/>
          <w:sz w:val="24"/>
          <w14:ligatures w14:val="none"/>
        </w:rPr>
        <w:t xml:space="preserve">To reassess the microglial signal in ASD cortex under a more conservative analytical framework, we first revisited the reclustered microglial object at the all-cluster level rather than assuming that all recovered clusters represented bona fide microglial states. This step was necessary because interpretation of subclusters in multi-donor single-cell or single-nucleus datasets can be distorted by residual ambient background, partial lineage admixture, cluster fragmentation, and pseudoreplicate-style inflation when disease association is inferred directly from non-independent cells rather than from donor-aware comparisons (PMID: 33257685, 35880426). </w:t>
      </w:r>
    </w:p>
    <w:p w:rsidR="00E96968" w:rsidRPr="00E96968" w:rsidRDefault="00E96968" w:rsidP="00E96968">
      <w:pPr>
        <w:widowControl/>
        <w:spacing w:before="100" w:beforeAutospacing="1" w:after="100" w:afterAutospacing="1" w:line="240" w:lineRule="auto"/>
        <w:rPr>
          <w:rFonts w:ascii="宋体" w:eastAsia="宋体" w:hAnsi="宋体" w:cs="宋体"/>
          <w:kern w:val="0"/>
          <w:sz w:val="24"/>
          <w14:ligatures w14:val="none"/>
        </w:rPr>
      </w:pPr>
      <w:r w:rsidRPr="00E96968">
        <w:rPr>
          <w:rFonts w:ascii="宋体" w:eastAsia="宋体" w:hAnsi="宋体" w:cs="宋体"/>
          <w:kern w:val="0"/>
          <w:sz w:val="24"/>
          <w14:ligatures w14:val="none"/>
        </w:rPr>
        <w:t>Systematic audit of the reclustered object indicated that it should not be interpreted as a collection of uniformly credible microglial states. Instead, multiple clusters showed transcriptional features more consistent with contaminant lineages, mixed identities, or strong non-microglial background. In particular, several clusters displayed marker patterns suggestive of lymphoid, endothelial, astrocytic, oligodendroglial, OPC-like, or neuronal-leaning identities, arguing against their retention as core microglial populations. These observations prompted a stricter lineage-aware filtering strategy in which only clusters retaining coherent microglial identity while minimizing overt evidence of non-microglial admixture were carried forward for downstream analysis.</w:t>
      </w:r>
    </w:p>
    <w:p w:rsidR="00E96968" w:rsidRPr="00E96968" w:rsidRDefault="00E96968" w:rsidP="00E96968">
      <w:pPr>
        <w:widowControl/>
        <w:spacing w:before="100" w:beforeAutospacing="1" w:after="100" w:afterAutospacing="1" w:line="240" w:lineRule="auto"/>
        <w:rPr>
          <w:rFonts w:ascii="宋体" w:eastAsia="宋体" w:hAnsi="宋体" w:cs="宋体"/>
          <w:kern w:val="0"/>
          <w:sz w:val="24"/>
          <w14:ligatures w14:val="none"/>
        </w:rPr>
      </w:pPr>
      <w:r w:rsidRPr="00E96968">
        <w:rPr>
          <w:rFonts w:ascii="宋体" w:eastAsia="宋体" w:hAnsi="宋体" w:cs="宋体"/>
          <w:kern w:val="0"/>
          <w:sz w:val="24"/>
          <w14:ligatures w14:val="none"/>
        </w:rPr>
        <w:t>After this audit, only clusters 0 and 2 were retained as the core microglia-containing compartment for subsequent analyses. This finding substantially revised the interpretation of the original reclustered object. Rather than supporting a broad landscape of many equally credible microglial states, the data supported a much narrower retained microglial space in which only two clusters were sufficiently robust for conservative donor-aware re-analysis. This reduction was analytically important because it separated the question of bona fide retained microglial structure from the question of disease association.</w:t>
      </w:r>
    </w:p>
    <w:p w:rsidR="00E96968" w:rsidRPr="00E96968" w:rsidRDefault="00E96968" w:rsidP="00E96968">
      <w:pPr>
        <w:widowControl/>
        <w:spacing w:before="100" w:beforeAutospacing="1" w:after="100" w:afterAutospacing="1" w:line="240" w:lineRule="auto"/>
        <w:rPr>
          <w:rFonts w:ascii="宋体" w:eastAsia="宋体" w:hAnsi="宋体" w:cs="宋体"/>
          <w:kern w:val="0"/>
          <w:sz w:val="24"/>
          <w14:ligatures w14:val="none"/>
        </w:rPr>
      </w:pPr>
      <w:r w:rsidRPr="00E96968">
        <w:rPr>
          <w:rFonts w:ascii="宋体" w:eastAsia="宋体" w:hAnsi="宋体" w:cs="宋体"/>
          <w:kern w:val="0"/>
          <w:sz w:val="24"/>
          <w14:ligatures w14:val="none"/>
        </w:rPr>
        <w:t xml:space="preserve">Importantly, retention of clusters 0 and 2 did not imply that these two populations were biologically equivalent or equally interpretable. Instead, they defined the minimal analytic substrate </w:t>
      </w:r>
      <w:r w:rsidRPr="00E96968">
        <w:rPr>
          <w:rFonts w:ascii="宋体" w:eastAsia="宋体" w:hAnsi="宋体" w:cs="宋体"/>
          <w:kern w:val="0"/>
          <w:sz w:val="24"/>
          <w14:ligatures w14:val="none"/>
        </w:rPr>
        <w:lastRenderedPageBreak/>
        <w:t>within which the remaining state architecture could be reassessed. Subsequent analyses therefore focused on two linked questions: first, whether cluster 2 represented a reproducible microglia-retaining candidate state rather than a contamination-driven artifact; and second, whether any apparent ASD-related signal within the retained compartment reflected a diagnosis-related shift toward cluster 2 specifically, or broader transcriptional remodeling across retained core microglia.</w:t>
      </w:r>
    </w:p>
    <w:p w:rsidR="00E96968" w:rsidRPr="00E96968" w:rsidRDefault="00E96968" w:rsidP="00E96968">
      <w:pPr>
        <w:widowControl/>
        <w:spacing w:before="100" w:beforeAutospacing="1" w:after="100" w:afterAutospacing="1" w:line="240" w:lineRule="auto"/>
        <w:rPr>
          <w:rFonts w:ascii="宋体" w:eastAsia="宋体" w:hAnsi="宋体" w:cs="宋体"/>
          <w:kern w:val="0"/>
          <w:sz w:val="24"/>
          <w14:ligatures w14:val="none"/>
        </w:rPr>
      </w:pPr>
      <w:r w:rsidRPr="00E96968">
        <w:rPr>
          <w:rFonts w:ascii="宋体" w:eastAsia="宋体" w:hAnsi="宋体" w:cs="宋体"/>
          <w:kern w:val="0"/>
          <w:sz w:val="24"/>
          <w14:ligatures w14:val="none"/>
        </w:rPr>
        <w:t>This audit-first strategy is especially relevant in ASD cortical transcriptomic studies, where cell-type-specific disease signals coexist with broad neuronal and glial dysregulation across the cortex rather than mapping cleanly onto a single isolated microglial subtype (PMID: 31097668, 32008165). Accordingly, all downstream abundance, state-definition, residual-background, and disease-association analyses were performed only within this strictly retained core microglial compartment.</w:t>
      </w:r>
    </w:p>
    <w:p w:rsidR="00E96968" w:rsidRPr="00E96968" w:rsidRDefault="00E96968" w:rsidP="00E96968">
      <w:pPr>
        <w:widowControl/>
        <w:spacing w:before="100" w:beforeAutospacing="1" w:after="100" w:afterAutospacing="1" w:line="240" w:lineRule="auto"/>
        <w:outlineLvl w:val="0"/>
        <w:rPr>
          <w:rFonts w:ascii="宋体" w:eastAsia="宋体" w:hAnsi="宋体" w:cs="宋体"/>
          <w:b/>
          <w:bCs/>
          <w:kern w:val="36"/>
          <w:sz w:val="48"/>
          <w:szCs w:val="48"/>
          <w14:ligatures w14:val="none"/>
        </w:rPr>
      </w:pPr>
      <w:r w:rsidRPr="00E96968">
        <w:rPr>
          <w:rFonts w:ascii="宋体" w:eastAsia="宋体" w:hAnsi="宋体" w:cs="宋体"/>
          <w:b/>
          <w:bCs/>
          <w:kern w:val="36"/>
          <w:sz w:val="48"/>
          <w:szCs w:val="48"/>
          <w14:ligatures w14:val="none"/>
        </w:rPr>
        <w:t>3.2 Cluster 2 defines a microglia-retaining, activation/remodeling-shifted candidate state, whereas cluster 0 carries stronger neuronal/synaptic background</w:t>
      </w:r>
    </w:p>
    <w:p w:rsidR="00E96968" w:rsidRPr="00E96968" w:rsidRDefault="00E96968" w:rsidP="00E96968">
      <w:pPr>
        <w:widowControl/>
        <w:spacing w:before="100" w:beforeAutospacing="1" w:after="100" w:afterAutospacing="1" w:line="240" w:lineRule="auto"/>
        <w:rPr>
          <w:rFonts w:ascii="宋体" w:eastAsia="宋体" w:hAnsi="宋体" w:cs="宋体"/>
          <w:kern w:val="0"/>
          <w:sz w:val="24"/>
          <w14:ligatures w14:val="none"/>
        </w:rPr>
      </w:pPr>
      <w:r w:rsidRPr="00E96968">
        <w:rPr>
          <w:rFonts w:ascii="宋体" w:eastAsia="宋体" w:hAnsi="宋体" w:cs="宋体"/>
          <w:kern w:val="0"/>
          <w:sz w:val="24"/>
          <w14:ligatures w14:val="none"/>
        </w:rPr>
        <w:t>Having restricted the analytical space to clusters 0 and 2, we next asked how these two retained populations should be interpreted. Rather than assuming that cluster 2 represented a predefined disease-associated subtype, we re-defined the state architecture within the retained core microglial compartment using donor-aware paired comparisons and data-driven state-defining genes.</w:t>
      </w:r>
    </w:p>
    <w:p w:rsidR="00E96968" w:rsidRPr="00E96968" w:rsidRDefault="00E96968" w:rsidP="00E96968">
      <w:pPr>
        <w:widowControl/>
        <w:spacing w:before="100" w:beforeAutospacing="1" w:after="100" w:afterAutospacing="1" w:line="240" w:lineRule="auto"/>
        <w:rPr>
          <w:rFonts w:ascii="宋体" w:eastAsia="宋体" w:hAnsi="宋体" w:cs="宋体"/>
          <w:kern w:val="0"/>
          <w:sz w:val="24"/>
          <w14:ligatures w14:val="none"/>
        </w:rPr>
      </w:pPr>
      <w:r w:rsidRPr="00E96968">
        <w:rPr>
          <w:rFonts w:ascii="宋体" w:eastAsia="宋体" w:hAnsi="宋体" w:cs="宋体"/>
          <w:kern w:val="0"/>
          <w:sz w:val="24"/>
          <w14:ligatures w14:val="none"/>
        </w:rPr>
        <w:t xml:space="preserve">Paired pseudobulk differential expression across donors showed that the dominant distinction between the two retained clusters was not a clean separation between a canonical homeostatic microglial state and a sharply bounded pathogenic subtype. Instead, cluster 0 showed strong enrichment for neuronal and synaptic-background-associated genes, including </w:t>
      </w:r>
      <w:r w:rsidRPr="00E96968">
        <w:rPr>
          <w:rFonts w:ascii="宋体" w:eastAsia="宋体" w:hAnsi="宋体" w:cs="宋体"/>
          <w:b/>
          <w:bCs/>
          <w:kern w:val="0"/>
          <w:sz w:val="24"/>
          <w14:ligatures w14:val="none"/>
        </w:rPr>
        <w:t>CTNNA2, ROBO2, CSMD3, NRG3, GPM6A, RIMS2, SYT1, NRXN3, RBFOX1, LRRTM4, CADM1, CADM2, and GRM5</w:t>
      </w:r>
      <w:r w:rsidRPr="00E96968">
        <w:rPr>
          <w:rFonts w:ascii="宋体" w:eastAsia="宋体" w:hAnsi="宋体" w:cs="宋体"/>
          <w:kern w:val="0"/>
          <w:sz w:val="24"/>
          <w14:ligatures w14:val="none"/>
        </w:rPr>
        <w:t xml:space="preserve">, indicating that this </w:t>
      </w:r>
      <w:r w:rsidRPr="00E96968">
        <w:rPr>
          <w:rFonts w:ascii="宋体" w:eastAsia="宋体" w:hAnsi="宋体" w:cs="宋体"/>
          <w:kern w:val="0"/>
          <w:sz w:val="24"/>
          <w14:ligatures w14:val="none"/>
        </w:rPr>
        <w:lastRenderedPageBreak/>
        <w:t>cluster carried substantial residual neuronal/synaptic signal. This pattern was highly consistent with the earlier audit-based concern that a subset of the reclustered microglial space was influenced by non-microglial background rather than representing a fully autonomous microglial state.</w:t>
      </w:r>
    </w:p>
    <w:p w:rsidR="00E96968" w:rsidRPr="00E96968" w:rsidRDefault="00E96968" w:rsidP="00E96968">
      <w:pPr>
        <w:widowControl/>
        <w:spacing w:before="100" w:beforeAutospacing="1" w:after="100" w:afterAutospacing="1" w:line="240" w:lineRule="auto"/>
        <w:rPr>
          <w:rFonts w:ascii="宋体" w:eastAsia="宋体" w:hAnsi="宋体" w:cs="宋体"/>
          <w:kern w:val="0"/>
          <w:sz w:val="24"/>
          <w14:ligatures w14:val="none"/>
        </w:rPr>
      </w:pPr>
      <w:r w:rsidRPr="00E96968">
        <w:rPr>
          <w:rFonts w:ascii="宋体" w:eastAsia="宋体" w:hAnsi="宋体" w:cs="宋体"/>
          <w:kern w:val="0"/>
          <w:sz w:val="24"/>
          <w14:ligatures w14:val="none"/>
        </w:rPr>
        <w:t xml:space="preserve">In contrast, cluster 2 retained a coherent microglial transcriptional identity while showing a shift toward activation/remodeling-associated genes. The top data-driven cluster-2-enriched genes included </w:t>
      </w:r>
      <w:r w:rsidRPr="00E96968">
        <w:rPr>
          <w:rFonts w:ascii="宋体" w:eastAsia="宋体" w:hAnsi="宋体" w:cs="宋体"/>
          <w:b/>
          <w:bCs/>
          <w:kern w:val="0"/>
          <w:sz w:val="24"/>
          <w14:ligatures w14:val="none"/>
        </w:rPr>
        <w:t>TLR2, CPVL, PLA2G4A, OLR1, ENTPD1, HCLS1, FCGR2A, IL6ST, HIF1A, WNT5A, C1QC, LYN, PIK3AP1, DOCK8, and GAB2</w:t>
      </w:r>
      <w:r w:rsidRPr="00E96968">
        <w:rPr>
          <w:rFonts w:ascii="宋体" w:eastAsia="宋体" w:hAnsi="宋体" w:cs="宋体"/>
          <w:kern w:val="0"/>
          <w:sz w:val="24"/>
          <w14:ligatures w14:val="none"/>
        </w:rPr>
        <w:t>, together with additional genes linked to signaling adaptation and membrane remodeling. This pattern supported a state interpretation centered on immune sensing, phagocytic/remodeling bias, and stress-responsive adaptation, rather than a narrowly defined lipid-metabolic or SPP1-centered program.</w:t>
      </w:r>
    </w:p>
    <w:p w:rsidR="00E96968" w:rsidRPr="00E96968" w:rsidRDefault="00E96968" w:rsidP="00E96968">
      <w:pPr>
        <w:widowControl/>
        <w:spacing w:before="100" w:beforeAutospacing="1" w:after="100" w:afterAutospacing="1" w:line="240" w:lineRule="auto"/>
        <w:rPr>
          <w:rFonts w:ascii="宋体" w:eastAsia="宋体" w:hAnsi="宋体" w:cs="宋体"/>
          <w:kern w:val="0"/>
          <w:sz w:val="24"/>
          <w14:ligatures w14:val="none"/>
        </w:rPr>
      </w:pPr>
      <w:r w:rsidRPr="00E96968">
        <w:rPr>
          <w:rFonts w:ascii="宋体" w:eastAsia="宋体" w:hAnsi="宋体" w:cs="宋体"/>
          <w:kern w:val="0"/>
          <w:sz w:val="24"/>
          <w14:ligatures w14:val="none"/>
        </w:rPr>
        <w:t xml:space="preserve">Importantly, this state definition did not support the earlier interpretation of cluster 2 as a discrete </w:t>
      </w:r>
      <w:r w:rsidRPr="00E96968">
        <w:rPr>
          <w:rFonts w:ascii="宋体" w:eastAsia="宋体" w:hAnsi="宋体" w:cs="宋体"/>
          <w:b/>
          <w:bCs/>
          <w:kern w:val="0"/>
          <w:sz w:val="24"/>
          <w14:ligatures w14:val="none"/>
        </w:rPr>
        <w:t>SPP1+ risk microglial subtype</w:t>
      </w:r>
      <w:r w:rsidRPr="00E96968">
        <w:rPr>
          <w:rFonts w:ascii="宋体" w:eastAsia="宋体" w:hAnsi="宋体" w:cs="宋体"/>
          <w:kern w:val="0"/>
          <w:sz w:val="24"/>
          <w14:ligatures w14:val="none"/>
        </w:rPr>
        <w:t xml:space="preserve">. Although </w:t>
      </w:r>
      <w:r w:rsidRPr="00E96968">
        <w:rPr>
          <w:rFonts w:ascii="宋体" w:eastAsia="宋体" w:hAnsi="宋体" w:cs="宋体"/>
          <w:b/>
          <w:bCs/>
          <w:kern w:val="0"/>
          <w:sz w:val="24"/>
          <w14:ligatures w14:val="none"/>
        </w:rPr>
        <w:t>SPP1</w:t>
      </w:r>
      <w:r w:rsidRPr="00E96968">
        <w:rPr>
          <w:rFonts w:ascii="宋体" w:eastAsia="宋体" w:hAnsi="宋体" w:cs="宋体"/>
          <w:kern w:val="0"/>
          <w:sz w:val="24"/>
          <w14:ligatures w14:val="none"/>
        </w:rPr>
        <w:t xml:space="preserve"> and related genes remained biologically relevant in later disease-association analyses, the cluster 2 state itself was not best defined by an isolated SPP1-dominant axis. Instead, the more stable interpretation was that cluster 2 represented a </w:t>
      </w:r>
      <w:r w:rsidRPr="00E96968">
        <w:rPr>
          <w:rFonts w:ascii="宋体" w:eastAsia="宋体" w:hAnsi="宋体" w:cs="宋体"/>
          <w:b/>
          <w:bCs/>
          <w:kern w:val="0"/>
          <w:sz w:val="24"/>
          <w14:ligatures w14:val="none"/>
        </w:rPr>
        <w:t>microglia-retaining, activation/remodeling-shifted candidate state</w:t>
      </w:r>
      <w:r w:rsidRPr="00E96968">
        <w:rPr>
          <w:rFonts w:ascii="宋体" w:eastAsia="宋体" w:hAnsi="宋体" w:cs="宋体"/>
          <w:kern w:val="0"/>
          <w:sz w:val="24"/>
          <w14:ligatures w14:val="none"/>
        </w:rPr>
        <w:t>, whereas cluster 0 served as a more reference-like comparison population but with stronger neuronal/synaptic background.</w:t>
      </w:r>
    </w:p>
    <w:p w:rsidR="00E96968" w:rsidRPr="00E96968" w:rsidRDefault="00E96968" w:rsidP="00E96968">
      <w:pPr>
        <w:widowControl/>
        <w:spacing w:before="100" w:beforeAutospacing="1" w:after="100" w:afterAutospacing="1" w:line="240" w:lineRule="auto"/>
        <w:rPr>
          <w:rFonts w:ascii="宋体" w:eastAsia="宋体" w:hAnsi="宋体" w:cs="宋体"/>
          <w:kern w:val="0"/>
          <w:sz w:val="24"/>
          <w14:ligatures w14:val="none"/>
        </w:rPr>
      </w:pPr>
      <w:r w:rsidRPr="00E96968">
        <w:rPr>
          <w:rFonts w:ascii="宋体" w:eastAsia="宋体" w:hAnsi="宋体" w:cs="宋体"/>
          <w:kern w:val="0"/>
          <w:sz w:val="24"/>
          <w14:ligatures w14:val="none"/>
        </w:rPr>
        <w:t>Taken together, these results refined the internal structure of the retained core microglial compartment. The major distinction between clusters 0 and 2 was therefore best understood not as a simple homeostatic-versus-pathogenic binary, but as a contrast between a reference-like, background-influenced cluster and a retained microglial candidate state with activation/remodeling features.</w:t>
      </w:r>
    </w:p>
    <w:p w:rsidR="00E96968" w:rsidRPr="00E96968" w:rsidRDefault="00E96968" w:rsidP="00E96968">
      <w:pPr>
        <w:widowControl/>
        <w:spacing w:after="0" w:line="240" w:lineRule="auto"/>
        <w:rPr>
          <w:rFonts w:ascii="宋体" w:eastAsia="宋体" w:hAnsi="宋体" w:cs="宋体"/>
          <w:kern w:val="0"/>
          <w:sz w:val="24"/>
          <w14:ligatures w14:val="none"/>
        </w:rPr>
      </w:pPr>
      <w:r w:rsidRPr="00E96968">
        <w:rPr>
          <w:rFonts w:ascii="宋体" w:eastAsia="宋体" w:hAnsi="宋体" w:cs="宋体"/>
          <w:kern w:val="0"/>
          <w:sz w:val="24"/>
          <w14:ligatures w14:val="none"/>
        </w:rPr>
        <w:pict>
          <v:rect id="_x0000_i1031" style="width:0;height:1.5pt" o:hralign="center" o:hrstd="t" o:hr="t" fillcolor="#a0a0a0" stroked="f"/>
        </w:pict>
      </w:r>
    </w:p>
    <w:p w:rsidR="00E96968" w:rsidRPr="00E96968" w:rsidRDefault="00E96968" w:rsidP="00E96968">
      <w:pPr>
        <w:widowControl/>
        <w:spacing w:before="100" w:beforeAutospacing="1" w:after="100" w:afterAutospacing="1" w:line="240" w:lineRule="auto"/>
        <w:outlineLvl w:val="0"/>
        <w:rPr>
          <w:rFonts w:ascii="宋体" w:eastAsia="宋体" w:hAnsi="宋体" w:cs="宋体"/>
          <w:b/>
          <w:bCs/>
          <w:kern w:val="36"/>
          <w:sz w:val="48"/>
          <w:szCs w:val="48"/>
          <w14:ligatures w14:val="none"/>
        </w:rPr>
      </w:pPr>
      <w:r w:rsidRPr="00E96968">
        <w:rPr>
          <w:rFonts w:ascii="宋体" w:eastAsia="宋体" w:hAnsi="宋体" w:cs="宋体"/>
          <w:b/>
          <w:bCs/>
          <w:kern w:val="36"/>
          <w:sz w:val="48"/>
          <w:szCs w:val="48"/>
          <w14:ligatures w14:val="none"/>
        </w:rPr>
        <w:t>3.3 Residual-background and quality-control analyses support the robustness of the cluster 0 versus cluster 2 distinction</w:t>
      </w:r>
    </w:p>
    <w:p w:rsidR="00E96968" w:rsidRPr="00E96968" w:rsidRDefault="00E96968" w:rsidP="00E96968">
      <w:pPr>
        <w:widowControl/>
        <w:spacing w:before="100" w:beforeAutospacing="1" w:after="100" w:afterAutospacing="1" w:line="240" w:lineRule="auto"/>
        <w:rPr>
          <w:rFonts w:ascii="宋体" w:eastAsia="宋体" w:hAnsi="宋体" w:cs="宋体"/>
          <w:kern w:val="0"/>
          <w:sz w:val="24"/>
          <w14:ligatures w14:val="none"/>
        </w:rPr>
      </w:pPr>
      <w:r w:rsidRPr="00E96968">
        <w:rPr>
          <w:rFonts w:ascii="宋体" w:eastAsia="宋体" w:hAnsi="宋体" w:cs="宋体"/>
          <w:kern w:val="0"/>
          <w:sz w:val="24"/>
          <w14:ligatures w14:val="none"/>
        </w:rPr>
        <w:lastRenderedPageBreak/>
        <w:t>Because cluster 0 showed strong enrichment for neuronal/synaptic-background-associated genes, we next asked whether the observed cluster 0 versus cluster 2 separation could be explained by residual background contamination, doublet-related artifacts, or general cell-quality differences. To address this, we performed targeted residual-background audits, module-level comparisons, and QC-oriented sensitivity analyses within the strict retained object.</w:t>
      </w:r>
    </w:p>
    <w:p w:rsidR="00E96968" w:rsidRPr="00E96968" w:rsidRDefault="00E96968" w:rsidP="00E96968">
      <w:pPr>
        <w:widowControl/>
        <w:spacing w:before="100" w:beforeAutospacing="1" w:after="100" w:afterAutospacing="1" w:line="240" w:lineRule="auto"/>
        <w:rPr>
          <w:rFonts w:ascii="宋体" w:eastAsia="宋体" w:hAnsi="宋体" w:cs="宋体"/>
          <w:kern w:val="0"/>
          <w:sz w:val="24"/>
          <w14:ligatures w14:val="none"/>
        </w:rPr>
      </w:pPr>
      <w:r w:rsidRPr="00E96968">
        <w:rPr>
          <w:rFonts w:ascii="宋体" w:eastAsia="宋体" w:hAnsi="宋体" w:cs="宋体"/>
          <w:kern w:val="0"/>
          <w:sz w:val="24"/>
          <w14:ligatures w14:val="none"/>
        </w:rPr>
        <w:t>These analyses consistently indicated that cluster 2 was not a contamination-driven false-positive population. At the donor level, cluster 2 showed stronger microglial identity and activation-related signal, whereas cluster 0 showed higher neuronal/synaptic background. Specifically, cluster 2 exhibited higher microglial homeostatic and activation-related module behavior while showing lower neuronal/synaptic-background signal, supporting the interpretation that the retained cluster 2 cells more strongly preserved microglial identity despite their shifted transcriptional profile.</w:t>
      </w:r>
    </w:p>
    <w:p w:rsidR="00E96968" w:rsidRPr="00E96968" w:rsidRDefault="00E96968" w:rsidP="00E96968">
      <w:pPr>
        <w:widowControl/>
        <w:spacing w:before="100" w:beforeAutospacing="1" w:after="100" w:afterAutospacing="1" w:line="240" w:lineRule="auto"/>
        <w:rPr>
          <w:rFonts w:ascii="宋体" w:eastAsia="宋体" w:hAnsi="宋体" w:cs="宋体"/>
          <w:kern w:val="0"/>
          <w:sz w:val="24"/>
          <w14:ligatures w14:val="none"/>
        </w:rPr>
      </w:pPr>
      <w:r w:rsidRPr="00E96968">
        <w:rPr>
          <w:rFonts w:ascii="宋体" w:eastAsia="宋体" w:hAnsi="宋体" w:cs="宋体"/>
          <w:kern w:val="0"/>
          <w:sz w:val="24"/>
          <w14:ligatures w14:val="none"/>
        </w:rPr>
        <w:t xml:space="preserve">Gene-level residual-background inspection further supported this conclusion. Genes such as </w:t>
      </w:r>
      <w:r w:rsidRPr="00E96968">
        <w:rPr>
          <w:rFonts w:ascii="宋体" w:eastAsia="宋体" w:hAnsi="宋体" w:cs="宋体"/>
          <w:b/>
          <w:bCs/>
          <w:kern w:val="0"/>
          <w:sz w:val="24"/>
          <w14:ligatures w14:val="none"/>
        </w:rPr>
        <w:t>PCDH9, GPM6A, KCNIP4, RBFOX1, SYT1, and LSAMP</w:t>
      </w:r>
      <w:r w:rsidRPr="00E96968">
        <w:rPr>
          <w:rFonts w:ascii="宋体" w:eastAsia="宋体" w:hAnsi="宋体" w:cs="宋体"/>
          <w:kern w:val="0"/>
          <w:sz w:val="24"/>
          <w14:ligatures w14:val="none"/>
        </w:rPr>
        <w:t xml:space="preserve"> were preferentially enriched toward cluster 0, whereas cluster 2 more strongly retained microglial-associated genes including </w:t>
      </w:r>
      <w:r w:rsidRPr="00E96968">
        <w:rPr>
          <w:rFonts w:ascii="宋体" w:eastAsia="宋体" w:hAnsi="宋体" w:cs="宋体"/>
          <w:b/>
          <w:bCs/>
          <w:kern w:val="0"/>
          <w:sz w:val="24"/>
          <w14:ligatures w14:val="none"/>
        </w:rPr>
        <w:t>MERTK, P2RY12, CX3CR1, and C3</w:t>
      </w:r>
      <w:r w:rsidRPr="00E96968">
        <w:rPr>
          <w:rFonts w:ascii="宋体" w:eastAsia="宋体" w:hAnsi="宋体" w:cs="宋体"/>
          <w:kern w:val="0"/>
          <w:sz w:val="24"/>
          <w14:ligatures w14:val="none"/>
        </w:rPr>
        <w:t>. Thus, the principal background burden was concentrated in cluster 0 rather than cluster 2.</w:t>
      </w:r>
    </w:p>
    <w:p w:rsidR="00E96968" w:rsidRPr="00E96968" w:rsidRDefault="00E96968" w:rsidP="00E96968">
      <w:pPr>
        <w:widowControl/>
        <w:spacing w:before="100" w:beforeAutospacing="1" w:after="100" w:afterAutospacing="1" w:line="240" w:lineRule="auto"/>
        <w:rPr>
          <w:rFonts w:ascii="宋体" w:eastAsia="宋体" w:hAnsi="宋体" w:cs="宋体"/>
          <w:kern w:val="0"/>
          <w:sz w:val="24"/>
          <w14:ligatures w14:val="none"/>
        </w:rPr>
      </w:pPr>
      <w:r w:rsidRPr="00E96968">
        <w:rPr>
          <w:rFonts w:ascii="宋体" w:eastAsia="宋体" w:hAnsi="宋体" w:cs="宋体"/>
          <w:kern w:val="0"/>
          <w:sz w:val="24"/>
          <w14:ligatures w14:val="none"/>
        </w:rPr>
        <w:t>Quality-control analyses were also inconsistent with the idea that cluster 2 represented a lower-quality or more artifactual population. Cluster 2 did not show a pattern of elevated mitochondrial burden or stronger scrublet-like behavior. Instead, it showed lower mitochondrial proportion and lower scrublet score, despite having higher RNA counts and detected feature numbers. This pattern argues against interpreting cluster 2 as a low-quality, stressed, or doublet-enriched residual cluster.</w:t>
      </w:r>
    </w:p>
    <w:p w:rsidR="00E96968" w:rsidRPr="00E96968" w:rsidRDefault="00E96968" w:rsidP="00E96968">
      <w:pPr>
        <w:widowControl/>
        <w:spacing w:before="100" w:beforeAutospacing="1" w:after="100" w:afterAutospacing="1" w:line="240" w:lineRule="auto"/>
        <w:rPr>
          <w:rFonts w:ascii="宋体" w:eastAsia="宋体" w:hAnsi="宋体" w:cs="宋体"/>
          <w:kern w:val="0"/>
          <w:sz w:val="24"/>
          <w14:ligatures w14:val="none"/>
        </w:rPr>
      </w:pPr>
      <w:r w:rsidRPr="00E96968">
        <w:rPr>
          <w:rFonts w:ascii="宋体" w:eastAsia="宋体" w:hAnsi="宋体" w:cs="宋体"/>
          <w:kern w:val="0"/>
          <w:sz w:val="24"/>
          <w14:ligatures w14:val="none"/>
        </w:rPr>
        <w:t>Finally, sensitivity analyses in which cells with high neuronal module scores, high scrublet scores, or both were removed showed that the main direction of the cluster 0 versus cluster 2 contrast remained stable. Although effect sizes were attenuated in some comparisons, the overall state distinction did not collapse, and the dominant directional structure of the differential signal was preserved. Together, these analyses indicate that residual neuronal background influences interpretation of cluster 0, but does not overturn the conclusion that cluster 2 represents a reproducible retained microglial candidate state.</w:t>
      </w:r>
    </w:p>
    <w:p w:rsidR="00E96968" w:rsidRPr="00E96968" w:rsidRDefault="00E96968" w:rsidP="00E96968">
      <w:pPr>
        <w:widowControl/>
        <w:spacing w:after="0" w:line="240" w:lineRule="auto"/>
        <w:rPr>
          <w:rFonts w:ascii="宋体" w:eastAsia="宋体" w:hAnsi="宋体" w:cs="宋体"/>
          <w:kern w:val="0"/>
          <w:sz w:val="24"/>
          <w14:ligatures w14:val="none"/>
        </w:rPr>
      </w:pPr>
      <w:r w:rsidRPr="00E96968">
        <w:rPr>
          <w:rFonts w:ascii="宋体" w:eastAsia="宋体" w:hAnsi="宋体" w:cs="宋体"/>
          <w:kern w:val="0"/>
          <w:sz w:val="24"/>
          <w14:ligatures w14:val="none"/>
        </w:rPr>
        <w:lastRenderedPageBreak/>
        <w:pict>
          <v:rect id="_x0000_i1032" style="width:0;height:1.5pt" o:hralign="center" o:hrstd="t" o:hr="t" fillcolor="#a0a0a0" stroked="f"/>
        </w:pict>
      </w:r>
    </w:p>
    <w:p w:rsidR="00E96968" w:rsidRPr="00E96968" w:rsidRDefault="00E96968" w:rsidP="00E96968">
      <w:pPr>
        <w:widowControl/>
        <w:spacing w:before="100" w:beforeAutospacing="1" w:after="100" w:afterAutospacing="1" w:line="240" w:lineRule="auto"/>
        <w:outlineLvl w:val="0"/>
        <w:rPr>
          <w:rFonts w:ascii="宋体" w:eastAsia="宋体" w:hAnsi="宋体" w:cs="宋体"/>
          <w:b/>
          <w:bCs/>
          <w:kern w:val="36"/>
          <w:sz w:val="48"/>
          <w:szCs w:val="48"/>
          <w14:ligatures w14:val="none"/>
        </w:rPr>
      </w:pPr>
      <w:r w:rsidRPr="00E96968">
        <w:rPr>
          <w:rFonts w:ascii="宋体" w:eastAsia="宋体" w:hAnsi="宋体" w:cs="宋体"/>
          <w:b/>
          <w:bCs/>
          <w:kern w:val="36"/>
          <w:sz w:val="48"/>
          <w:szCs w:val="48"/>
          <w14:ligatures w14:val="none"/>
        </w:rPr>
        <w:t>3.4 Donor-aware analyses show an ASD-upward abundance trend for cluster 2 within the retained core microglial compartment</w:t>
      </w:r>
    </w:p>
    <w:p w:rsidR="00E96968" w:rsidRPr="00E96968" w:rsidRDefault="00E96968" w:rsidP="00E96968">
      <w:pPr>
        <w:widowControl/>
        <w:spacing w:before="100" w:beforeAutospacing="1" w:after="100" w:afterAutospacing="1" w:line="240" w:lineRule="auto"/>
        <w:rPr>
          <w:rFonts w:ascii="宋体" w:eastAsia="宋体" w:hAnsi="宋体" w:cs="宋体"/>
          <w:kern w:val="0"/>
          <w:sz w:val="24"/>
          <w14:ligatures w14:val="none"/>
        </w:rPr>
      </w:pPr>
      <w:r w:rsidRPr="00E96968">
        <w:rPr>
          <w:rFonts w:ascii="宋体" w:eastAsia="宋体" w:hAnsi="宋体" w:cs="宋体"/>
          <w:kern w:val="0"/>
          <w:sz w:val="24"/>
          <w14:ligatures w14:val="none"/>
        </w:rPr>
        <w:t>We next asked whether cluster 2 showed donor-aware disease association in ASD. To avoid over-interpreting non-independent cell-level observations, we quantified abundance at the donor level within the strictly retained core microglial compartment rather than using individual cells as independent replicates.</w:t>
      </w:r>
    </w:p>
    <w:p w:rsidR="00E96968" w:rsidRPr="00E96968" w:rsidRDefault="00E96968" w:rsidP="00E96968">
      <w:pPr>
        <w:widowControl/>
        <w:spacing w:before="100" w:beforeAutospacing="1" w:after="100" w:afterAutospacing="1" w:line="240" w:lineRule="auto"/>
        <w:rPr>
          <w:rFonts w:ascii="宋体" w:eastAsia="宋体" w:hAnsi="宋体" w:cs="宋体"/>
          <w:kern w:val="0"/>
          <w:sz w:val="24"/>
          <w14:ligatures w14:val="none"/>
        </w:rPr>
      </w:pPr>
      <w:r w:rsidRPr="00E96968">
        <w:rPr>
          <w:rFonts w:ascii="宋体" w:eastAsia="宋体" w:hAnsi="宋体" w:cs="宋体"/>
          <w:kern w:val="0"/>
          <w:sz w:val="24"/>
          <w14:ligatures w14:val="none"/>
        </w:rPr>
        <w:t>Across donors, cluster 2 showed a consistent upward trend in ASD relative to controls. The mean proportion of cluster 2 within the retained core microglial compartment was higher in ASD than in controls (</w:t>
      </w:r>
      <w:r w:rsidRPr="00E96968">
        <w:rPr>
          <w:rFonts w:ascii="宋体" w:eastAsia="宋体" w:hAnsi="宋体" w:cs="宋体"/>
          <w:b/>
          <w:bCs/>
          <w:kern w:val="0"/>
          <w:sz w:val="24"/>
          <w14:ligatures w14:val="none"/>
        </w:rPr>
        <w:t>0.260 vs. 0.206</w:t>
      </w:r>
      <w:r w:rsidRPr="00E96968">
        <w:rPr>
          <w:rFonts w:ascii="宋体" w:eastAsia="宋体" w:hAnsi="宋体" w:cs="宋体"/>
          <w:kern w:val="0"/>
          <w:sz w:val="24"/>
          <w14:ligatures w14:val="none"/>
        </w:rPr>
        <w:t xml:space="preserve">), corresponding to an absolute increase of approximately </w:t>
      </w:r>
      <w:r w:rsidRPr="00E96968">
        <w:rPr>
          <w:rFonts w:ascii="宋体" w:eastAsia="宋体" w:hAnsi="宋体" w:cs="宋体"/>
          <w:b/>
          <w:bCs/>
          <w:kern w:val="0"/>
          <w:sz w:val="24"/>
          <w14:ligatures w14:val="none"/>
        </w:rPr>
        <w:t>5.4 percentage points</w:t>
      </w:r>
      <w:r w:rsidRPr="00E96968">
        <w:rPr>
          <w:rFonts w:ascii="宋体" w:eastAsia="宋体" w:hAnsi="宋体" w:cs="宋体"/>
          <w:kern w:val="0"/>
          <w:sz w:val="24"/>
          <w14:ligatures w14:val="none"/>
        </w:rPr>
        <w:t xml:space="preserve">. A similar directional result was observed when abundance was summarized as the within-donor </w:t>
      </w:r>
      <w:r w:rsidRPr="00E96968">
        <w:rPr>
          <w:rFonts w:ascii="宋体" w:eastAsia="宋体" w:hAnsi="宋体" w:cs="宋体"/>
          <w:b/>
          <w:bCs/>
          <w:kern w:val="0"/>
          <w:sz w:val="24"/>
          <w14:ligatures w14:val="none"/>
        </w:rPr>
        <w:t>Cluster 2:Cluster 0 ratio</w:t>
      </w:r>
      <w:r w:rsidRPr="00E96968">
        <w:rPr>
          <w:rFonts w:ascii="宋体" w:eastAsia="宋体" w:hAnsi="宋体" w:cs="宋体"/>
          <w:kern w:val="0"/>
          <w:sz w:val="24"/>
          <w14:ligatures w14:val="none"/>
        </w:rPr>
        <w:t>, which was shifted upward in ASD. These trends were consistent across non-parametric and linear-model summaries, but they did not reach robust statistical significance.</w:t>
      </w:r>
    </w:p>
    <w:p w:rsidR="00E96968" w:rsidRPr="00E96968" w:rsidRDefault="00E96968" w:rsidP="00E96968">
      <w:pPr>
        <w:widowControl/>
        <w:spacing w:before="100" w:beforeAutospacing="1" w:after="100" w:afterAutospacing="1" w:line="240" w:lineRule="auto"/>
        <w:rPr>
          <w:rFonts w:ascii="宋体" w:eastAsia="宋体" w:hAnsi="宋体" w:cs="宋体"/>
          <w:kern w:val="0"/>
          <w:sz w:val="24"/>
          <w14:ligatures w14:val="none"/>
        </w:rPr>
      </w:pPr>
      <w:r w:rsidRPr="00E96968">
        <w:rPr>
          <w:rFonts w:ascii="宋体" w:eastAsia="宋体" w:hAnsi="宋体" w:cs="宋体"/>
          <w:kern w:val="0"/>
          <w:sz w:val="24"/>
          <w14:ligatures w14:val="none"/>
        </w:rPr>
        <w:t xml:space="preserve">Accordingly, the abundance data did not support a strong claim that ASD drives a clearly significant expansion of cluster 2. Rather, they support a more conservative interpretation in which cluster 2 shows an </w:t>
      </w:r>
      <w:r w:rsidRPr="00E96968">
        <w:rPr>
          <w:rFonts w:ascii="宋体" w:eastAsia="宋体" w:hAnsi="宋体" w:cs="宋体"/>
          <w:b/>
          <w:bCs/>
          <w:kern w:val="0"/>
          <w:sz w:val="24"/>
          <w14:ligatures w14:val="none"/>
        </w:rPr>
        <w:t>ASD-upward abundance trend</w:t>
      </w:r>
      <w:r w:rsidRPr="00E96968">
        <w:rPr>
          <w:rFonts w:ascii="宋体" w:eastAsia="宋体" w:hAnsi="宋体" w:cs="宋体"/>
          <w:kern w:val="0"/>
          <w:sz w:val="24"/>
          <w14:ligatures w14:val="none"/>
        </w:rPr>
        <w:t xml:space="preserve"> within retained core microglia, but not a uniformly robust donor-level enrichment across analytical formulations. This distinction is important because it separates directional disease association from overstatement of certainty.</w:t>
      </w:r>
    </w:p>
    <w:p w:rsidR="00E96968" w:rsidRPr="00E96968" w:rsidRDefault="00E96968" w:rsidP="00E96968">
      <w:pPr>
        <w:widowControl/>
        <w:spacing w:before="100" w:beforeAutospacing="1" w:after="100" w:afterAutospacing="1" w:line="240" w:lineRule="auto"/>
        <w:rPr>
          <w:rFonts w:ascii="宋体" w:eastAsia="宋体" w:hAnsi="宋体" w:cs="宋体"/>
          <w:kern w:val="0"/>
          <w:sz w:val="24"/>
          <w14:ligatures w14:val="none"/>
        </w:rPr>
      </w:pPr>
      <w:r w:rsidRPr="00E96968">
        <w:rPr>
          <w:rFonts w:ascii="宋体" w:eastAsia="宋体" w:hAnsi="宋体" w:cs="宋体"/>
          <w:kern w:val="0"/>
          <w:sz w:val="24"/>
          <w14:ligatures w14:val="none"/>
        </w:rPr>
        <w:t>These results therefore suggested that cluster 2 remained relevant for disease-oriented follow-up, but that abundance alone was insufficient to define it as a robust disease-enriched microglial subtype. This prompted us to examine donor-aware state stability and expression-level disease association more directly.</w:t>
      </w:r>
    </w:p>
    <w:p w:rsidR="00E96968" w:rsidRPr="00E96968" w:rsidRDefault="00E96968" w:rsidP="00E96968">
      <w:pPr>
        <w:widowControl/>
        <w:spacing w:after="0" w:line="240" w:lineRule="auto"/>
        <w:rPr>
          <w:rFonts w:ascii="宋体" w:eastAsia="宋体" w:hAnsi="宋体" w:cs="宋体"/>
          <w:kern w:val="0"/>
          <w:sz w:val="24"/>
          <w14:ligatures w14:val="none"/>
        </w:rPr>
      </w:pPr>
      <w:r w:rsidRPr="00E96968">
        <w:rPr>
          <w:rFonts w:ascii="宋体" w:eastAsia="宋体" w:hAnsi="宋体" w:cs="宋体"/>
          <w:kern w:val="0"/>
          <w:sz w:val="24"/>
          <w14:ligatures w14:val="none"/>
        </w:rPr>
        <w:pict>
          <v:rect id="_x0000_i1033" style="width:0;height:1.5pt" o:hralign="center" o:hrstd="t" o:hr="t" fillcolor="#a0a0a0" stroked="f"/>
        </w:pict>
      </w:r>
    </w:p>
    <w:p w:rsidR="00E96968" w:rsidRPr="00E96968" w:rsidRDefault="00E96968" w:rsidP="00E96968">
      <w:pPr>
        <w:widowControl/>
        <w:spacing w:before="100" w:beforeAutospacing="1" w:after="100" w:afterAutospacing="1" w:line="240" w:lineRule="auto"/>
        <w:outlineLvl w:val="0"/>
        <w:rPr>
          <w:rFonts w:ascii="宋体" w:eastAsia="宋体" w:hAnsi="宋体" w:cs="宋体"/>
          <w:b/>
          <w:bCs/>
          <w:kern w:val="36"/>
          <w:sz w:val="48"/>
          <w:szCs w:val="48"/>
          <w14:ligatures w14:val="none"/>
        </w:rPr>
      </w:pPr>
      <w:r w:rsidRPr="00E96968">
        <w:rPr>
          <w:rFonts w:ascii="宋体" w:eastAsia="宋体" w:hAnsi="宋体" w:cs="宋体"/>
          <w:b/>
          <w:bCs/>
          <w:kern w:val="36"/>
          <w:sz w:val="48"/>
          <w:szCs w:val="48"/>
          <w14:ligatures w14:val="none"/>
        </w:rPr>
        <w:lastRenderedPageBreak/>
        <w:t>3.5 Donor-paired analyses support a reproducible cluster 0 versus cluster 2 state distinction, but diagnosis does not significantly enhance the donor-level state shift</w:t>
      </w:r>
    </w:p>
    <w:p w:rsidR="00E96968" w:rsidRPr="00E96968" w:rsidRDefault="00E96968" w:rsidP="00E96968">
      <w:pPr>
        <w:widowControl/>
        <w:spacing w:before="100" w:beforeAutospacing="1" w:after="100" w:afterAutospacing="1" w:line="240" w:lineRule="auto"/>
        <w:rPr>
          <w:rFonts w:ascii="宋体" w:eastAsia="宋体" w:hAnsi="宋体" w:cs="宋体"/>
          <w:kern w:val="0"/>
          <w:sz w:val="24"/>
          <w14:ligatures w14:val="none"/>
        </w:rPr>
      </w:pPr>
      <w:r w:rsidRPr="00E96968">
        <w:rPr>
          <w:rFonts w:ascii="宋体" w:eastAsia="宋体" w:hAnsi="宋体" w:cs="宋体"/>
          <w:kern w:val="0"/>
          <w:sz w:val="24"/>
          <w14:ligatures w14:val="none"/>
        </w:rPr>
        <w:t>To determine whether ASD specifically strengthened the cluster 2 state relative to cluster 0 within donors, we performed donor-paired analyses that directly evaluated the internal state contrast between the two retained clusters. This was important because an apparent increase in cluster 2 abundance does not necessarily imply that diagnosis also enhances the corresponding transcriptional state architecture.</w:t>
      </w:r>
    </w:p>
    <w:p w:rsidR="00E96968" w:rsidRPr="00E96968" w:rsidRDefault="00E96968" w:rsidP="00E96968">
      <w:pPr>
        <w:widowControl/>
        <w:spacing w:before="100" w:beforeAutospacing="1" w:after="100" w:afterAutospacing="1" w:line="240" w:lineRule="auto"/>
        <w:rPr>
          <w:rFonts w:ascii="宋体" w:eastAsia="宋体" w:hAnsi="宋体" w:cs="宋体"/>
          <w:kern w:val="0"/>
          <w:sz w:val="24"/>
          <w14:ligatures w14:val="none"/>
        </w:rPr>
      </w:pPr>
      <w:r w:rsidRPr="00E96968">
        <w:rPr>
          <w:rFonts w:ascii="宋体" w:eastAsia="宋体" w:hAnsi="宋体" w:cs="宋体"/>
          <w:kern w:val="0"/>
          <w:sz w:val="24"/>
          <w14:ligatures w14:val="none"/>
        </w:rPr>
        <w:t>First, leave-one-donor-out out-of-fold state-concordance analysis showed that the cluster 2 versus cluster 0 distinction was reproducible across donors. Both ASD and control donors exhibited broadly positive concordance values, indicating that the underlying state contrast was not donor-idiosyncratic and could be recovered repeatedly from held-out samples. This result supports the interpretation that the cluster 2 candidate state reflects a stable feature of the retained microglial compartment rather than a single-cohort artifact.</w:t>
      </w:r>
    </w:p>
    <w:p w:rsidR="00E96968" w:rsidRPr="00E96968" w:rsidRDefault="00E96968" w:rsidP="00E96968">
      <w:pPr>
        <w:widowControl/>
        <w:spacing w:before="100" w:beforeAutospacing="1" w:after="100" w:afterAutospacing="1" w:line="240" w:lineRule="auto"/>
        <w:rPr>
          <w:rFonts w:ascii="宋体" w:eastAsia="宋体" w:hAnsi="宋体" w:cs="宋体"/>
          <w:kern w:val="0"/>
          <w:sz w:val="24"/>
          <w14:ligatures w14:val="none"/>
        </w:rPr>
      </w:pPr>
      <w:r w:rsidRPr="00E96968">
        <w:rPr>
          <w:rFonts w:ascii="宋体" w:eastAsia="宋体" w:hAnsi="宋体" w:cs="宋体"/>
          <w:kern w:val="0"/>
          <w:sz w:val="24"/>
          <w14:ligatures w14:val="none"/>
        </w:rPr>
        <w:t>However, diagnosis did not significantly strengthen this state-concordance measure. Mean out-of-fold concordance was highly similar between ASD and control donors, and neither non-parametric nor linear-model comparisons supported a diagnosis-related increase. Thus, ASD did not appear to make the cluster 2 state intrinsically more “state-like” or more sharply separated from cluster 0 at the donor level.</w:t>
      </w:r>
    </w:p>
    <w:p w:rsidR="00E96968" w:rsidRPr="00E96968" w:rsidRDefault="00E96968" w:rsidP="00E96968">
      <w:pPr>
        <w:widowControl/>
        <w:spacing w:before="100" w:beforeAutospacing="1" w:after="100" w:afterAutospacing="1" w:line="240" w:lineRule="auto"/>
        <w:rPr>
          <w:rFonts w:ascii="宋体" w:eastAsia="宋体" w:hAnsi="宋体" w:cs="宋体"/>
          <w:kern w:val="0"/>
          <w:sz w:val="24"/>
          <w14:ligatures w14:val="none"/>
        </w:rPr>
      </w:pPr>
      <w:r w:rsidRPr="00E96968">
        <w:rPr>
          <w:rFonts w:ascii="宋体" w:eastAsia="宋体" w:hAnsi="宋体" w:cs="宋体"/>
          <w:kern w:val="0"/>
          <w:sz w:val="24"/>
          <w14:ligatures w14:val="none"/>
        </w:rPr>
        <w:t xml:space="preserve">We next tested the same question using donor-level pseudobulk delta modeling, in which the within-donor </w:t>
      </w:r>
      <w:r w:rsidRPr="00E96968">
        <w:rPr>
          <w:rFonts w:ascii="宋体" w:eastAsia="宋体" w:hAnsi="宋体" w:cs="宋体"/>
          <w:b/>
          <w:bCs/>
          <w:kern w:val="0"/>
          <w:sz w:val="24"/>
          <w14:ligatures w14:val="none"/>
        </w:rPr>
        <w:t>Cluster2-minus-Cluster0</w:t>
      </w:r>
      <w:r w:rsidRPr="00E96968">
        <w:rPr>
          <w:rFonts w:ascii="宋体" w:eastAsia="宋体" w:hAnsi="宋体" w:cs="宋体"/>
          <w:kern w:val="0"/>
          <w:sz w:val="24"/>
          <w14:ligatures w14:val="none"/>
        </w:rPr>
        <w:t xml:space="preserve"> expression shift was compared between ASD and control donors. This analysis was likewise negative. No genes showed convincing evidence that diagnosis systematically amplified the donor-level cluster 2 versus cluster 0 shift. In other words, while cluster 2 and cluster 0 </w:t>
      </w:r>
      <w:r w:rsidRPr="00E96968">
        <w:rPr>
          <w:rFonts w:ascii="宋体" w:eastAsia="宋体" w:hAnsi="宋体" w:cs="宋体"/>
          <w:kern w:val="0"/>
          <w:sz w:val="24"/>
          <w14:ligatures w14:val="none"/>
        </w:rPr>
        <w:lastRenderedPageBreak/>
        <w:t>were transcriptionally distinct states, ASD did not significantly enhance that internal state difference in a donor-aware framework.</w:t>
      </w:r>
    </w:p>
    <w:p w:rsidR="00E96968" w:rsidRPr="00E96968" w:rsidRDefault="00E96968" w:rsidP="00E96968">
      <w:pPr>
        <w:widowControl/>
        <w:spacing w:before="100" w:beforeAutospacing="1" w:after="100" w:afterAutospacing="1" w:line="240" w:lineRule="auto"/>
        <w:rPr>
          <w:rFonts w:ascii="宋体" w:eastAsia="宋体" w:hAnsi="宋体" w:cs="宋体"/>
          <w:kern w:val="0"/>
          <w:sz w:val="24"/>
          <w14:ligatures w14:val="none"/>
        </w:rPr>
      </w:pPr>
      <w:r w:rsidRPr="00E96968">
        <w:rPr>
          <w:rFonts w:ascii="宋体" w:eastAsia="宋体" w:hAnsi="宋体" w:cs="宋体"/>
          <w:kern w:val="0"/>
          <w:sz w:val="24"/>
          <w14:ligatures w14:val="none"/>
        </w:rPr>
        <w:t>Taken together, these analyses support a revised interpretation of the disease relationship. Cluster 2 is a reproducible candidate state, and ASD shows a directional trend toward increased representation of this state, but the diagnosis does not significantly intensify the donor-level cluster 2 versus cluster 0 state shift itself. Therefore, the disease signal in retained core microglia is better interpreted as broader transcriptional remodeling than as a sharply enhanced cluster-2-specific state transition.</w:t>
      </w:r>
    </w:p>
    <w:p w:rsidR="00E96968" w:rsidRPr="00E96968" w:rsidRDefault="00E96968" w:rsidP="00E96968">
      <w:pPr>
        <w:widowControl/>
        <w:spacing w:after="0" w:line="240" w:lineRule="auto"/>
        <w:rPr>
          <w:rFonts w:ascii="宋体" w:eastAsia="宋体" w:hAnsi="宋体" w:cs="宋体"/>
          <w:kern w:val="0"/>
          <w:sz w:val="24"/>
          <w14:ligatures w14:val="none"/>
        </w:rPr>
      </w:pPr>
      <w:r w:rsidRPr="00E96968">
        <w:rPr>
          <w:rFonts w:ascii="宋体" w:eastAsia="宋体" w:hAnsi="宋体" w:cs="宋体"/>
          <w:noProof/>
          <w:kern w:val="0"/>
          <w:sz w:val="24"/>
          <w14:ligatures w14:val="none"/>
        </w:rPr>
      </w:r>
      <w:r w:rsidR="00E96968" w:rsidRPr="00E96968">
        <w:rPr>
          <w:rFonts w:ascii="宋体" w:eastAsia="宋体" w:hAnsi="宋体" w:cs="宋体"/>
          <w:noProof/>
          <w:kern w:val="0"/>
          <w:sz w:val="24"/>
          <w14:ligatures w14:val="none"/>
        </w:rPr>
        <w:pict>
          <v:rect id="_x0000_i1034" alt="" style="width:415.3pt;height:.05pt;mso-width-percent:0;mso-height-percent:0;mso-width-percent:0;mso-height-percent:0" o:hralign="center" o:hrstd="t" o:hr="t" fillcolor="#a0a0a0" stroked="f"/>
        </w:pict>
      </w:r>
    </w:p>
    <w:p w:rsidR="00E96968" w:rsidRPr="00E96968" w:rsidRDefault="00E96968" w:rsidP="00E96968">
      <w:pPr>
        <w:widowControl/>
        <w:spacing w:before="100" w:beforeAutospacing="1" w:after="100" w:afterAutospacing="1" w:line="240" w:lineRule="auto"/>
        <w:outlineLvl w:val="0"/>
        <w:rPr>
          <w:rFonts w:ascii="宋体" w:eastAsia="宋体" w:hAnsi="宋体" w:cs="宋体"/>
          <w:b/>
          <w:bCs/>
          <w:kern w:val="36"/>
          <w:sz w:val="48"/>
          <w:szCs w:val="48"/>
          <w14:ligatures w14:val="none"/>
        </w:rPr>
      </w:pPr>
      <w:r w:rsidRPr="00E96968">
        <w:rPr>
          <w:rFonts w:ascii="宋体" w:eastAsia="宋体" w:hAnsi="宋体" w:cs="宋体"/>
          <w:b/>
          <w:bCs/>
          <w:kern w:val="36"/>
          <w:sz w:val="48"/>
          <w:szCs w:val="48"/>
          <w14:ligatures w14:val="none"/>
        </w:rPr>
        <w:t>3.6 ASD-associated transcriptional changes are detectable in retained core microglia, including both clusters 0 and 2</w:t>
      </w:r>
    </w:p>
    <w:p w:rsidR="00E96968" w:rsidRPr="00E96968" w:rsidRDefault="00E96968" w:rsidP="00E96968">
      <w:pPr>
        <w:widowControl/>
        <w:spacing w:before="100" w:beforeAutospacing="1" w:after="100" w:afterAutospacing="1" w:line="240" w:lineRule="auto"/>
        <w:rPr>
          <w:rFonts w:ascii="宋体" w:eastAsia="宋体" w:hAnsi="宋体" w:cs="宋体"/>
          <w:kern w:val="0"/>
          <w:sz w:val="24"/>
          <w14:ligatures w14:val="none"/>
        </w:rPr>
      </w:pPr>
      <w:r w:rsidRPr="00E96968">
        <w:rPr>
          <w:rFonts w:ascii="宋体" w:eastAsia="宋体" w:hAnsi="宋体" w:cs="宋体"/>
          <w:kern w:val="0"/>
          <w:sz w:val="24"/>
          <w14:ligatures w14:val="none"/>
        </w:rPr>
        <w:t>Although diagnosis did not significantly enhance the donor-level cluster 2 versus cluster 0 state shift, pseudobulk analyses demonstrated that retained core microglia nonetheless showed detectable ASD-associated transcriptional changes. These disease-related signals were evident when retained core microglia were analyzed as a pooled compartment and remained detectable when clusters 0 and 2 were examined separately.</w:t>
      </w:r>
    </w:p>
    <w:p w:rsidR="00E96968" w:rsidRPr="00E96968" w:rsidRDefault="00E96968" w:rsidP="00E96968">
      <w:pPr>
        <w:widowControl/>
        <w:spacing w:before="100" w:beforeAutospacing="1" w:after="100" w:afterAutospacing="1" w:line="240" w:lineRule="auto"/>
        <w:rPr>
          <w:rFonts w:ascii="宋体" w:eastAsia="宋体" w:hAnsi="宋体" w:cs="宋体"/>
          <w:kern w:val="0"/>
          <w:sz w:val="24"/>
          <w14:ligatures w14:val="none"/>
        </w:rPr>
      </w:pPr>
      <w:r w:rsidRPr="00E96968">
        <w:rPr>
          <w:rFonts w:ascii="宋体" w:eastAsia="宋体" w:hAnsi="宋体" w:cs="宋体"/>
          <w:kern w:val="0"/>
          <w:sz w:val="24"/>
          <w14:ligatures w14:val="none"/>
        </w:rPr>
        <w:t xml:space="preserve">In pooled retained core microglia, </w:t>
      </w:r>
      <w:r w:rsidRPr="00E96968">
        <w:rPr>
          <w:rFonts w:ascii="宋体" w:eastAsia="宋体" w:hAnsi="宋体" w:cs="宋体"/>
          <w:b/>
          <w:bCs/>
          <w:kern w:val="0"/>
          <w:sz w:val="24"/>
          <w14:ligatures w14:val="none"/>
        </w:rPr>
        <w:t>SPP1</w:t>
      </w:r>
      <w:r w:rsidRPr="00E96968">
        <w:rPr>
          <w:rFonts w:ascii="宋体" w:eastAsia="宋体" w:hAnsi="宋体" w:cs="宋体"/>
          <w:kern w:val="0"/>
          <w:sz w:val="24"/>
          <w14:ligatures w14:val="none"/>
        </w:rPr>
        <w:t xml:space="preserve"> emerged as the most significant ASD-upregulated gene, with additional ASD-associated increases involving genes linked to inflammatory adaptation, lipid handling, hypoxia/stress responses, and myeloid activation, including </w:t>
      </w:r>
      <w:r w:rsidRPr="00E96968">
        <w:rPr>
          <w:rFonts w:ascii="宋体" w:eastAsia="宋体" w:hAnsi="宋体" w:cs="宋体"/>
          <w:b/>
          <w:bCs/>
          <w:kern w:val="0"/>
          <w:sz w:val="24"/>
          <w14:ligatures w14:val="none"/>
        </w:rPr>
        <w:t>FCGR2A, ACSL1, HIF1A, P4HA1, SOAT1, HSPA1A, HSPA1B, and MYO1E</w:t>
      </w:r>
      <w:r w:rsidRPr="00E96968">
        <w:rPr>
          <w:rFonts w:ascii="宋体" w:eastAsia="宋体" w:hAnsi="宋体" w:cs="宋体"/>
          <w:kern w:val="0"/>
          <w:sz w:val="24"/>
          <w14:ligatures w14:val="none"/>
        </w:rPr>
        <w:t>. This profile indicated that retained core microglia in ASD were not transcriptionally static, but instead participated in a broader disease-associated remodeling program.</w:t>
      </w:r>
    </w:p>
    <w:p w:rsidR="00E96968" w:rsidRPr="00E96968" w:rsidRDefault="00E96968" w:rsidP="00E96968">
      <w:pPr>
        <w:widowControl/>
        <w:spacing w:before="100" w:beforeAutospacing="1" w:after="100" w:afterAutospacing="1" w:line="240" w:lineRule="auto"/>
        <w:rPr>
          <w:rFonts w:ascii="宋体" w:eastAsia="宋体" w:hAnsi="宋体" w:cs="宋体"/>
          <w:kern w:val="0"/>
          <w:sz w:val="24"/>
          <w14:ligatures w14:val="none"/>
        </w:rPr>
      </w:pPr>
      <w:r w:rsidRPr="00E96968">
        <w:rPr>
          <w:rFonts w:ascii="宋体" w:eastAsia="宋体" w:hAnsi="宋体" w:cs="宋体"/>
          <w:kern w:val="0"/>
          <w:sz w:val="24"/>
          <w14:ligatures w14:val="none"/>
        </w:rPr>
        <w:t xml:space="preserve">Importantly, this signal was not restricted to cluster 2 alone. In cluster 0, </w:t>
      </w:r>
      <w:r w:rsidRPr="00E96968">
        <w:rPr>
          <w:rFonts w:ascii="宋体" w:eastAsia="宋体" w:hAnsi="宋体" w:cs="宋体"/>
          <w:b/>
          <w:bCs/>
          <w:kern w:val="0"/>
          <w:sz w:val="24"/>
          <w14:ligatures w14:val="none"/>
        </w:rPr>
        <w:t>SPP1</w:t>
      </w:r>
      <w:r w:rsidRPr="00E96968">
        <w:rPr>
          <w:rFonts w:ascii="宋体" w:eastAsia="宋体" w:hAnsi="宋体" w:cs="宋体"/>
          <w:kern w:val="0"/>
          <w:sz w:val="24"/>
          <w14:ligatures w14:val="none"/>
        </w:rPr>
        <w:t xml:space="preserve"> was also strongly upregulated, together with genes such as </w:t>
      </w:r>
      <w:r w:rsidRPr="00E96968">
        <w:rPr>
          <w:rFonts w:ascii="宋体" w:eastAsia="宋体" w:hAnsi="宋体" w:cs="宋体"/>
          <w:b/>
          <w:bCs/>
          <w:kern w:val="0"/>
          <w:sz w:val="24"/>
          <w14:ligatures w14:val="none"/>
        </w:rPr>
        <w:t>CHST15, ZC3HAV1, P4HA1, STAT3, HIF1A, LY96, REL, and SCIN</w:t>
      </w:r>
      <w:r w:rsidRPr="00E96968">
        <w:rPr>
          <w:rFonts w:ascii="宋体" w:eastAsia="宋体" w:hAnsi="宋体" w:cs="宋体"/>
          <w:kern w:val="0"/>
          <w:sz w:val="24"/>
          <w14:ligatures w14:val="none"/>
        </w:rPr>
        <w:t xml:space="preserve">. </w:t>
      </w:r>
      <w:r w:rsidRPr="00E96968">
        <w:rPr>
          <w:rFonts w:ascii="宋体" w:eastAsia="宋体" w:hAnsi="宋体" w:cs="宋体"/>
          <w:kern w:val="0"/>
          <w:sz w:val="24"/>
          <w14:ligatures w14:val="none"/>
        </w:rPr>
        <w:lastRenderedPageBreak/>
        <w:t xml:space="preserve">In cluster 2, </w:t>
      </w:r>
      <w:r w:rsidRPr="00E96968">
        <w:rPr>
          <w:rFonts w:ascii="宋体" w:eastAsia="宋体" w:hAnsi="宋体" w:cs="宋体"/>
          <w:b/>
          <w:bCs/>
          <w:kern w:val="0"/>
          <w:sz w:val="24"/>
          <w14:ligatures w14:val="none"/>
        </w:rPr>
        <w:t>SPP1</w:t>
      </w:r>
      <w:r w:rsidRPr="00E96968">
        <w:rPr>
          <w:rFonts w:ascii="宋体" w:eastAsia="宋体" w:hAnsi="宋体" w:cs="宋体"/>
          <w:kern w:val="0"/>
          <w:sz w:val="24"/>
          <w14:ligatures w14:val="none"/>
        </w:rPr>
        <w:t xml:space="preserve"> again remained strongly increased, accompanied by genes including </w:t>
      </w:r>
      <w:r w:rsidRPr="00E96968">
        <w:rPr>
          <w:rFonts w:ascii="宋体" w:eastAsia="宋体" w:hAnsi="宋体" w:cs="宋体"/>
          <w:b/>
          <w:bCs/>
          <w:kern w:val="0"/>
          <w:sz w:val="24"/>
          <w14:ligatures w14:val="none"/>
        </w:rPr>
        <w:t>B2M, GNA13, HSPA1A, ASAH1, MYO1E, SKAP2, and P4HA1</w:t>
      </w:r>
      <w:r w:rsidRPr="00E96968">
        <w:rPr>
          <w:rFonts w:ascii="宋体" w:eastAsia="宋体" w:hAnsi="宋体" w:cs="宋体"/>
          <w:kern w:val="0"/>
          <w:sz w:val="24"/>
          <w14:ligatures w14:val="none"/>
        </w:rPr>
        <w:t>. Thus, both retained clusters carried disease-associated expression changes, although the exact gene context varied between them.</w:t>
      </w:r>
    </w:p>
    <w:p w:rsidR="00E96968" w:rsidRPr="00E96968" w:rsidRDefault="00E96968" w:rsidP="00E96968">
      <w:pPr>
        <w:widowControl/>
        <w:spacing w:before="100" w:beforeAutospacing="1" w:after="100" w:afterAutospacing="1" w:line="240" w:lineRule="auto"/>
        <w:rPr>
          <w:rFonts w:ascii="宋体" w:eastAsia="宋体" w:hAnsi="宋体" w:cs="宋体"/>
          <w:kern w:val="0"/>
          <w:sz w:val="24"/>
          <w14:ligatures w14:val="none"/>
        </w:rPr>
      </w:pPr>
      <w:r w:rsidRPr="00E96968">
        <w:rPr>
          <w:rFonts w:ascii="宋体" w:eastAsia="宋体" w:hAnsi="宋体" w:cs="宋体"/>
          <w:kern w:val="0"/>
          <w:sz w:val="24"/>
          <w14:ligatures w14:val="none"/>
        </w:rPr>
        <w:t>These results have two implications. First, they confirm that ASD-related transcriptional remodeling is present within the retained core microglial compartment. Second, they argue against a model in which the disease signal is explained solely by the emergence of a uniquely pathological cluster 2 subtype. Instead, ASD-associated molecular changes appear to extend across retained core microglia more broadly, with cluster 2 carrying part of this signal but not monopolizing it.</w:t>
      </w:r>
    </w:p>
    <w:p w:rsidR="00E96968" w:rsidRPr="00E96968" w:rsidRDefault="00E96968" w:rsidP="00E96968">
      <w:pPr>
        <w:widowControl/>
        <w:spacing w:before="100" w:beforeAutospacing="1" w:after="100" w:afterAutospacing="1" w:line="240" w:lineRule="auto"/>
        <w:rPr>
          <w:rFonts w:ascii="宋体" w:eastAsia="宋体" w:hAnsi="宋体" w:cs="宋体"/>
          <w:kern w:val="0"/>
          <w:sz w:val="24"/>
          <w14:ligatures w14:val="none"/>
        </w:rPr>
      </w:pPr>
      <w:r w:rsidRPr="00E96968">
        <w:rPr>
          <w:rFonts w:ascii="宋体" w:eastAsia="宋体" w:hAnsi="宋体" w:cs="宋体"/>
          <w:kern w:val="0"/>
          <w:sz w:val="24"/>
          <w14:ligatures w14:val="none"/>
        </w:rPr>
        <w:t xml:space="preserve">This broader interpretation is especially important for </w:t>
      </w:r>
      <w:r w:rsidRPr="00E96968">
        <w:rPr>
          <w:rFonts w:ascii="宋体" w:eastAsia="宋体" w:hAnsi="宋体" w:cs="宋体"/>
          <w:b/>
          <w:bCs/>
          <w:kern w:val="0"/>
          <w:sz w:val="24"/>
          <w14:ligatures w14:val="none"/>
        </w:rPr>
        <w:t>SPP1</w:t>
      </w:r>
      <w:r w:rsidRPr="00E96968">
        <w:rPr>
          <w:rFonts w:ascii="宋体" w:eastAsia="宋体" w:hAnsi="宋体" w:cs="宋体"/>
          <w:kern w:val="0"/>
          <w:sz w:val="24"/>
          <w14:ligatures w14:val="none"/>
        </w:rPr>
        <w:t xml:space="preserve">. In the revised analytical framework, </w:t>
      </w:r>
      <w:r w:rsidRPr="00E96968">
        <w:rPr>
          <w:rFonts w:ascii="宋体" w:eastAsia="宋体" w:hAnsi="宋体" w:cs="宋体"/>
          <w:b/>
          <w:bCs/>
          <w:kern w:val="0"/>
          <w:sz w:val="24"/>
          <w14:ligatures w14:val="none"/>
        </w:rPr>
        <w:t>SPP1</w:t>
      </w:r>
      <w:r w:rsidRPr="00E96968">
        <w:rPr>
          <w:rFonts w:ascii="宋体" w:eastAsia="宋体" w:hAnsi="宋体" w:cs="宋体"/>
          <w:kern w:val="0"/>
          <w:sz w:val="24"/>
          <w14:ligatures w14:val="none"/>
        </w:rPr>
        <w:t xml:space="preserve"> remains a biologically relevant ASD-associated gene in retained microglia, but it can no longer be treated as the defining anchor of a discrete disease-specific cluster. Rather, it should be interpreted as part of a wider disease-associated remodeling program detectable across retained core microglia, including both clusters 0 and 2.</w:t>
      </w:r>
    </w:p>
    <w:p w:rsidR="00BD37F0" w:rsidRPr="00FA6AB3" w:rsidRDefault="00BD37F0"/>
    <w:sectPr w:rsidR="00BD37F0" w:rsidRPr="00FA6AB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6DB"/>
    <w:rsid w:val="000125AA"/>
    <w:rsid w:val="00052990"/>
    <w:rsid w:val="0006057F"/>
    <w:rsid w:val="000F0848"/>
    <w:rsid w:val="00105C0A"/>
    <w:rsid w:val="00124696"/>
    <w:rsid w:val="001577B5"/>
    <w:rsid w:val="001709A7"/>
    <w:rsid w:val="001A6C93"/>
    <w:rsid w:val="001B258C"/>
    <w:rsid w:val="001B65A7"/>
    <w:rsid w:val="00233344"/>
    <w:rsid w:val="002C1483"/>
    <w:rsid w:val="00317F46"/>
    <w:rsid w:val="00347E88"/>
    <w:rsid w:val="00410A35"/>
    <w:rsid w:val="004E447F"/>
    <w:rsid w:val="00501246"/>
    <w:rsid w:val="005325D1"/>
    <w:rsid w:val="00544F37"/>
    <w:rsid w:val="005760E5"/>
    <w:rsid w:val="006659AD"/>
    <w:rsid w:val="00685935"/>
    <w:rsid w:val="00755D2D"/>
    <w:rsid w:val="007A5702"/>
    <w:rsid w:val="007F46DB"/>
    <w:rsid w:val="00813B65"/>
    <w:rsid w:val="00847F4F"/>
    <w:rsid w:val="008B1CD1"/>
    <w:rsid w:val="009642B5"/>
    <w:rsid w:val="00986BF8"/>
    <w:rsid w:val="00A91F0A"/>
    <w:rsid w:val="00AF2F3E"/>
    <w:rsid w:val="00B12368"/>
    <w:rsid w:val="00B2275C"/>
    <w:rsid w:val="00B524F4"/>
    <w:rsid w:val="00BB1BB4"/>
    <w:rsid w:val="00BB3E5F"/>
    <w:rsid w:val="00BD37F0"/>
    <w:rsid w:val="00BE0454"/>
    <w:rsid w:val="00C33CD2"/>
    <w:rsid w:val="00C5445F"/>
    <w:rsid w:val="00D262E7"/>
    <w:rsid w:val="00D50031"/>
    <w:rsid w:val="00E06F9B"/>
    <w:rsid w:val="00E626D0"/>
    <w:rsid w:val="00E87AB4"/>
    <w:rsid w:val="00E96968"/>
    <w:rsid w:val="00EB05DA"/>
    <w:rsid w:val="00FA6A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E399D5B-DC0D-F746-AAA3-A2350BB0F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F46D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7F46D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F46D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F46D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F46D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F46D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F46D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F46D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F46D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F46D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7F46D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F46D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F46DB"/>
    <w:rPr>
      <w:rFonts w:cstheme="majorBidi"/>
      <w:color w:val="0F4761" w:themeColor="accent1" w:themeShade="BF"/>
      <w:sz w:val="28"/>
      <w:szCs w:val="28"/>
    </w:rPr>
  </w:style>
  <w:style w:type="character" w:customStyle="1" w:styleId="50">
    <w:name w:val="标题 5 字符"/>
    <w:basedOn w:val="a0"/>
    <w:link w:val="5"/>
    <w:uiPriority w:val="9"/>
    <w:semiHidden/>
    <w:rsid w:val="007F46DB"/>
    <w:rPr>
      <w:rFonts w:cstheme="majorBidi"/>
      <w:color w:val="0F4761" w:themeColor="accent1" w:themeShade="BF"/>
      <w:sz w:val="24"/>
    </w:rPr>
  </w:style>
  <w:style w:type="character" w:customStyle="1" w:styleId="60">
    <w:name w:val="标题 6 字符"/>
    <w:basedOn w:val="a0"/>
    <w:link w:val="6"/>
    <w:uiPriority w:val="9"/>
    <w:semiHidden/>
    <w:rsid w:val="007F46DB"/>
    <w:rPr>
      <w:rFonts w:cstheme="majorBidi"/>
      <w:b/>
      <w:bCs/>
      <w:color w:val="0F4761" w:themeColor="accent1" w:themeShade="BF"/>
    </w:rPr>
  </w:style>
  <w:style w:type="character" w:customStyle="1" w:styleId="70">
    <w:name w:val="标题 7 字符"/>
    <w:basedOn w:val="a0"/>
    <w:link w:val="7"/>
    <w:uiPriority w:val="9"/>
    <w:semiHidden/>
    <w:rsid w:val="007F46DB"/>
    <w:rPr>
      <w:rFonts w:cstheme="majorBidi"/>
      <w:b/>
      <w:bCs/>
      <w:color w:val="595959" w:themeColor="text1" w:themeTint="A6"/>
    </w:rPr>
  </w:style>
  <w:style w:type="character" w:customStyle="1" w:styleId="80">
    <w:name w:val="标题 8 字符"/>
    <w:basedOn w:val="a0"/>
    <w:link w:val="8"/>
    <w:uiPriority w:val="9"/>
    <w:semiHidden/>
    <w:rsid w:val="007F46DB"/>
    <w:rPr>
      <w:rFonts w:cstheme="majorBidi"/>
      <w:color w:val="595959" w:themeColor="text1" w:themeTint="A6"/>
    </w:rPr>
  </w:style>
  <w:style w:type="character" w:customStyle="1" w:styleId="90">
    <w:name w:val="标题 9 字符"/>
    <w:basedOn w:val="a0"/>
    <w:link w:val="9"/>
    <w:uiPriority w:val="9"/>
    <w:semiHidden/>
    <w:rsid w:val="007F46DB"/>
    <w:rPr>
      <w:rFonts w:eastAsiaTheme="majorEastAsia" w:cstheme="majorBidi"/>
      <w:color w:val="595959" w:themeColor="text1" w:themeTint="A6"/>
    </w:rPr>
  </w:style>
  <w:style w:type="paragraph" w:styleId="a3">
    <w:name w:val="Title"/>
    <w:basedOn w:val="a"/>
    <w:next w:val="a"/>
    <w:link w:val="a4"/>
    <w:uiPriority w:val="10"/>
    <w:qFormat/>
    <w:rsid w:val="007F46D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F46D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F46D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F46D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F46DB"/>
    <w:pPr>
      <w:spacing w:before="160"/>
      <w:jc w:val="center"/>
    </w:pPr>
    <w:rPr>
      <w:i/>
      <w:iCs/>
      <w:color w:val="404040" w:themeColor="text1" w:themeTint="BF"/>
    </w:rPr>
  </w:style>
  <w:style w:type="character" w:customStyle="1" w:styleId="a8">
    <w:name w:val="引用 字符"/>
    <w:basedOn w:val="a0"/>
    <w:link w:val="a7"/>
    <w:uiPriority w:val="29"/>
    <w:rsid w:val="007F46DB"/>
    <w:rPr>
      <w:i/>
      <w:iCs/>
      <w:color w:val="404040" w:themeColor="text1" w:themeTint="BF"/>
    </w:rPr>
  </w:style>
  <w:style w:type="paragraph" w:styleId="a9">
    <w:name w:val="List Paragraph"/>
    <w:basedOn w:val="a"/>
    <w:uiPriority w:val="34"/>
    <w:qFormat/>
    <w:rsid w:val="007F46DB"/>
    <w:pPr>
      <w:ind w:left="720"/>
      <w:contextualSpacing/>
    </w:pPr>
  </w:style>
  <w:style w:type="character" w:styleId="aa">
    <w:name w:val="Intense Emphasis"/>
    <w:basedOn w:val="a0"/>
    <w:uiPriority w:val="21"/>
    <w:qFormat/>
    <w:rsid w:val="007F46DB"/>
    <w:rPr>
      <w:i/>
      <w:iCs/>
      <w:color w:val="0F4761" w:themeColor="accent1" w:themeShade="BF"/>
    </w:rPr>
  </w:style>
  <w:style w:type="paragraph" w:styleId="ab">
    <w:name w:val="Intense Quote"/>
    <w:basedOn w:val="a"/>
    <w:next w:val="a"/>
    <w:link w:val="ac"/>
    <w:uiPriority w:val="30"/>
    <w:qFormat/>
    <w:rsid w:val="007F46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F46DB"/>
    <w:rPr>
      <w:i/>
      <w:iCs/>
      <w:color w:val="0F4761" w:themeColor="accent1" w:themeShade="BF"/>
    </w:rPr>
  </w:style>
  <w:style w:type="character" w:styleId="ad">
    <w:name w:val="Intense Reference"/>
    <w:basedOn w:val="a0"/>
    <w:uiPriority w:val="32"/>
    <w:qFormat/>
    <w:rsid w:val="007F46DB"/>
    <w:rPr>
      <w:b/>
      <w:bCs/>
      <w:smallCaps/>
      <w:color w:val="0F4761" w:themeColor="accent1" w:themeShade="BF"/>
      <w:spacing w:val="5"/>
    </w:rPr>
  </w:style>
  <w:style w:type="paragraph" w:styleId="ae">
    <w:name w:val="Normal (Web)"/>
    <w:basedOn w:val="a"/>
    <w:uiPriority w:val="99"/>
    <w:semiHidden/>
    <w:unhideWhenUsed/>
    <w:rsid w:val="00FA6AB3"/>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Strong"/>
    <w:basedOn w:val="a0"/>
    <w:uiPriority w:val="22"/>
    <w:qFormat/>
    <w:rsid w:val="00FA6AB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4843</Words>
  <Characters>27606</Characters>
  <Application>Microsoft Office Word</Application>
  <DocSecurity>0</DocSecurity>
  <Lines>230</Lines>
  <Paragraphs>64</Paragraphs>
  <ScaleCrop>false</ScaleCrop>
  <Company/>
  <LinksUpToDate>false</LinksUpToDate>
  <CharactersWithSpaces>32385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Aojie</dc:creator>
  <cp:keywords/>
  <dc:description/>
  <cp:lastModifiedBy>Aojie</cp:lastModifiedBy>
  <cp:revision>3</cp:revision>
  <dcterms:created xsi:type="dcterms:W3CDTF">2026-03-13T03:44:00Z</dcterms:created>
  <dcterms:modified xsi:type="dcterms:W3CDTF">2026-03-13T03:48:00Z</dcterms:modified>
</cp:coreProperties>
</file>