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3D1A" w:rsidRPr="007E3D1A" w:rsidRDefault="007E3D1A" w:rsidP="007560A8">
      <w:pPr>
        <w:jc w:val="both"/>
        <w:rPr>
          <w:rFonts w:ascii="Merriweather Sans" w:hAnsi="Merriweather Sans"/>
          <w:color w:val="222222"/>
          <w:spacing w:val="2"/>
          <w:sz w:val="21"/>
          <w:szCs w:val="21"/>
          <w:shd w:val="clear" w:color="auto" w:fill="EBF1F5"/>
        </w:rPr>
      </w:pPr>
      <w:r w:rsidRPr="007E3D1A">
        <w:rPr>
          <w:rFonts w:ascii="Merriweather Sans" w:hAnsi="Merriweather Sans"/>
          <w:color w:val="025E8D"/>
          <w:spacing w:val="2"/>
          <w:sz w:val="32"/>
          <w:szCs w:val="32"/>
          <w:shd w:val="clear" w:color="auto" w:fill="FFFFFF"/>
        </w:rPr>
        <w:t>editor’s comments</w:t>
      </w:r>
      <w:r w:rsidRPr="007E3D1A">
        <w:rPr>
          <w:rFonts w:ascii="Merriweather Sans" w:hAnsi="Merriweather Sans"/>
          <w:color w:val="025E8D"/>
          <w:spacing w:val="2"/>
          <w:sz w:val="32"/>
          <w:szCs w:val="32"/>
          <w:shd w:val="clear" w:color="auto" w:fill="FFFFFF"/>
        </w:rPr>
        <w:t>:</w:t>
      </w:r>
      <w:r>
        <w:rPr>
          <w:rFonts w:ascii="Merriweather Sans" w:hAnsi="Merriweather Sans"/>
          <w:color w:val="025E8D"/>
          <w:spacing w:val="2"/>
          <w:shd w:val="clear" w:color="auto" w:fill="FFFFFF"/>
        </w:rPr>
        <w:br/>
      </w:r>
      <w:r>
        <w:rPr>
          <w:rFonts w:ascii="Merriweather Sans" w:hAnsi="Merriweather Sans"/>
          <w:color w:val="025E8D"/>
          <w:spacing w:val="2"/>
          <w:shd w:val="clear" w:color="auto" w:fill="FFFFFF"/>
        </w:rPr>
        <w:br/>
      </w:r>
      <w:r>
        <w:rPr>
          <w:rFonts w:ascii="Merriweather Sans" w:hAnsi="Merriweather Sans"/>
          <w:color w:val="222222"/>
          <w:spacing w:val="2"/>
          <w:sz w:val="21"/>
          <w:szCs w:val="21"/>
          <w:shd w:val="clear" w:color="auto" w:fill="EBF1F5"/>
        </w:rPr>
        <w:t>Dear Dr. Lian,</w:t>
      </w:r>
      <w:r>
        <w:rPr>
          <w:rFonts w:ascii="Merriweather Sans" w:hAnsi="Merriweather Sans"/>
          <w:color w:val="222222"/>
          <w:spacing w:val="2"/>
          <w:sz w:val="21"/>
          <w:szCs w:val="21"/>
        </w:rPr>
        <w:br/>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Your manuscript, "High-resolution transcriptomic atlas reveals an SPP1+ lipid-metabolic microglial state driving synaptic pruning defects in Autism Spectrum Disorder", has now been assessed.</w:t>
      </w:r>
      <w:r w:rsidRPr="007E3D1A">
        <w:rPr>
          <w:rFonts w:ascii="Merriweather Sans" w:hAnsi="Merriweather Sans"/>
          <w:color w:val="222222"/>
          <w:spacing w:val="2"/>
          <w:sz w:val="21"/>
          <w:szCs w:val="21"/>
          <w:shd w:val="clear" w:color="auto" w:fill="EBF1F5"/>
        </w:rPr>
        <w:br/>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Both reviewers found the study interesting, but they raised important issues that need to be addressed before the manuscript can be considered for publication in Molecular Autism.</w:t>
      </w:r>
      <w:r w:rsidRPr="007E3D1A">
        <w:rPr>
          <w:rFonts w:ascii="Merriweather Sans" w:hAnsi="Merriweather Sans"/>
          <w:color w:val="222222"/>
          <w:spacing w:val="2"/>
          <w:sz w:val="21"/>
          <w:szCs w:val="21"/>
          <w:shd w:val="clear" w:color="auto" w:fill="EBF1F5"/>
        </w:rPr>
        <w:br/>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In addition to addressing the issues raised by the reviewers, please make the following changes to your manuscript:</w:t>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 The title is grammatically incorrect and should be corrected. In addition, note that you should not use capitals to write 'autism spectrum disorder'.</w:t>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 Title page: Please add ORCIDs when available.</w:t>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 Background, first line: don't use capitals to write 'autism spectrum disorder'.</w:t>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 xml:space="preserve">- The references in the text, in square brackets, should be separated from the previous </w:t>
      </w:r>
      <w:proofErr w:type="gramStart"/>
      <w:r>
        <w:rPr>
          <w:rFonts w:ascii="Merriweather Sans" w:hAnsi="Merriweather Sans"/>
          <w:color w:val="222222"/>
          <w:spacing w:val="2"/>
          <w:sz w:val="21"/>
          <w:szCs w:val="21"/>
          <w:shd w:val="clear" w:color="auto" w:fill="EBF1F5"/>
        </w:rPr>
        <w:t>word</w:t>
      </w:r>
      <w:proofErr w:type="gramEnd"/>
      <w:r>
        <w:rPr>
          <w:rFonts w:ascii="Merriweather Sans" w:hAnsi="Merriweather Sans"/>
          <w:color w:val="222222"/>
          <w:spacing w:val="2"/>
          <w:sz w:val="21"/>
          <w:szCs w:val="21"/>
          <w:shd w:val="clear" w:color="auto" w:fill="EBF1F5"/>
        </w:rPr>
        <w:t xml:space="preserve"> by a space. In addition, when citing two or more references together, they should be included in the same set of brackets (</w:t>
      </w:r>
      <w:proofErr w:type="spellStart"/>
      <w:r>
        <w:rPr>
          <w:rFonts w:ascii="Merriweather Sans" w:hAnsi="Merriweather Sans"/>
          <w:color w:val="222222"/>
          <w:spacing w:val="2"/>
          <w:sz w:val="21"/>
          <w:szCs w:val="21"/>
          <w:shd w:val="clear" w:color="auto" w:fill="EBF1F5"/>
        </w:rPr>
        <w:t>eg</w:t>
      </w:r>
      <w:proofErr w:type="spellEnd"/>
      <w:r>
        <w:rPr>
          <w:rFonts w:ascii="Merriweather Sans" w:hAnsi="Merriweather Sans"/>
          <w:color w:val="222222"/>
          <w:spacing w:val="2"/>
          <w:sz w:val="21"/>
          <w:szCs w:val="21"/>
          <w:shd w:val="clear" w:color="auto" w:fill="EBF1F5"/>
        </w:rPr>
        <w:t>, "[15] [16]" should be "[15, 16]"). These rules apply to all journals.</w:t>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 The abbreviations should be sorted alphabetically.</w:t>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 Please reformat the references according to the journal’s guidelines: https://link.springer.com/journal/13229/submission-guidelines/research. Check the examples given at the bottom of the page and ensure that the format of the references in your paper matches this style. I had already asked you to change this and you didn't do it. This change is not optional. Articles within a journal should be cited like this:</w:t>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 xml:space="preserve">Smith JJ. The world of science. Am J Sci. </w:t>
      </w:r>
      <w:proofErr w:type="gramStart"/>
      <w:r>
        <w:rPr>
          <w:rFonts w:ascii="Merriweather Sans" w:hAnsi="Merriweather Sans"/>
          <w:color w:val="222222"/>
          <w:spacing w:val="2"/>
          <w:sz w:val="21"/>
          <w:szCs w:val="21"/>
          <w:shd w:val="clear" w:color="auto" w:fill="EBF1F5"/>
        </w:rPr>
        <w:t>1999;36:234</w:t>
      </w:r>
      <w:proofErr w:type="gramEnd"/>
      <w:r>
        <w:rPr>
          <w:rFonts w:ascii="Merriweather Sans" w:hAnsi="Merriweather Sans"/>
          <w:color w:val="222222"/>
          <w:spacing w:val="2"/>
          <w:sz w:val="21"/>
          <w:szCs w:val="21"/>
          <w:shd w:val="clear" w:color="auto" w:fill="EBF1F5"/>
        </w:rPr>
        <w:t>-5.</w:t>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 In supplementary file 1 with the supplementary figures, the figure title and the legend should be both placed below the figure, as they would in a journal article.</w:t>
      </w:r>
      <w:r w:rsidRPr="007E3D1A">
        <w:rPr>
          <w:rFonts w:ascii="Merriweather Sans" w:hAnsi="Merriweather Sans"/>
          <w:color w:val="222222"/>
          <w:spacing w:val="2"/>
          <w:sz w:val="21"/>
          <w:szCs w:val="21"/>
          <w:shd w:val="clear" w:color="auto" w:fill="EBF1F5"/>
        </w:rPr>
        <w:br/>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sidRPr="007E3D1A">
        <w:rPr>
          <w:rFonts w:ascii="Merriweather Sans" w:hAnsi="Merriweather Sans"/>
          <w:color w:val="222222"/>
          <w:spacing w:val="2"/>
          <w:sz w:val="21"/>
          <w:szCs w:val="21"/>
          <w:shd w:val="clear" w:color="auto" w:fill="EBF1F5"/>
        </w:rPr>
        <w:br/>
      </w:r>
      <w:r w:rsidRPr="007E3D1A">
        <w:rPr>
          <w:rFonts w:ascii="Merriweather Sans" w:hAnsi="Merriweather Sans"/>
          <w:color w:val="222222"/>
          <w:spacing w:val="2"/>
          <w:sz w:val="21"/>
          <w:szCs w:val="21"/>
          <w:shd w:val="clear" w:color="auto" w:fill="EBF1F5"/>
        </w:rPr>
        <w:lastRenderedPageBreak/>
        <w:br/>
      </w:r>
      <w:r>
        <w:rPr>
          <w:rFonts w:ascii="Merriweather Sans" w:hAnsi="Merriweather Sans"/>
          <w:color w:val="222222"/>
          <w:spacing w:val="2"/>
          <w:sz w:val="21"/>
          <w:szCs w:val="21"/>
          <w:shd w:val="clear" w:color="auto" w:fill="EBF1F5"/>
        </w:rPr>
        <w:t>We recommend submitting all revisions within the mentioned deadline. If you need more time, please contact us and include your submission ID.</w:t>
      </w:r>
      <w:r w:rsidRPr="007E3D1A">
        <w:rPr>
          <w:rFonts w:ascii="Merriweather Sans" w:hAnsi="Merriweather Sans"/>
          <w:color w:val="222222"/>
          <w:spacing w:val="2"/>
          <w:sz w:val="21"/>
          <w:szCs w:val="21"/>
          <w:shd w:val="clear" w:color="auto" w:fill="EBF1F5"/>
        </w:rPr>
        <w:br/>
      </w:r>
      <w:r w:rsidRPr="007E3D1A">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t>Kind regards,</w:t>
      </w:r>
      <w:r>
        <w:rPr>
          <w:rFonts w:ascii="Merriweather Sans" w:hAnsi="Merriweather Sans"/>
          <w:color w:val="222222"/>
          <w:spacing w:val="2"/>
          <w:sz w:val="21"/>
          <w:szCs w:val="21"/>
          <w:shd w:val="clear" w:color="auto" w:fill="EBF1F5"/>
        </w:rPr>
        <w:br/>
      </w:r>
      <w:r>
        <w:rPr>
          <w:rFonts w:ascii="Merriweather Sans" w:hAnsi="Merriweather Sans"/>
          <w:color w:val="222222"/>
          <w:spacing w:val="2"/>
          <w:sz w:val="21"/>
          <w:szCs w:val="21"/>
          <w:shd w:val="clear" w:color="auto" w:fill="EBF1F5"/>
        </w:rPr>
        <w:br/>
      </w:r>
      <w:r w:rsidRPr="007E3D1A">
        <w:rPr>
          <w:rFonts w:ascii="Merriweather Sans" w:hAnsi="Merriweather Sans"/>
          <w:b/>
          <w:bCs/>
          <w:color w:val="222222"/>
          <w:spacing w:val="2"/>
          <w:sz w:val="28"/>
          <w:szCs w:val="28"/>
          <w:shd w:val="clear" w:color="auto" w:fill="EBF1F5"/>
        </w:rPr>
        <w:t>Reviewer 1:</w:t>
      </w:r>
      <w:r>
        <w:rPr>
          <w:rFonts w:ascii="Merriweather Sans" w:hAnsi="Merriweather Sans"/>
          <w:color w:val="222222"/>
          <w:spacing w:val="2"/>
          <w:sz w:val="21"/>
          <w:szCs w:val="21"/>
          <w:shd w:val="clear" w:color="auto" w:fill="EBF1F5"/>
        </w:rPr>
        <w:br/>
      </w:r>
      <w:r w:rsidRPr="007E3D1A">
        <w:rPr>
          <w:rFonts w:ascii="Merriweather Sans" w:hAnsi="Merriweather Sans"/>
          <w:color w:val="222222"/>
          <w:spacing w:val="2"/>
          <w:sz w:val="21"/>
          <w:szCs w:val="21"/>
          <w:shd w:val="clear" w:color="auto" w:fill="EBF1F5"/>
        </w:rPr>
        <w:t>Overall summary and comments: The main claims of the manuscript are that:</w:t>
      </w:r>
    </w:p>
    <w:p w:rsidR="007E3D1A" w:rsidRPr="007E3D1A" w:rsidRDefault="007E3D1A" w:rsidP="007560A8">
      <w:pPr>
        <w:pStyle w:val="a9"/>
        <w:numPr>
          <w:ilvl w:val="0"/>
          <w:numId w:val="3"/>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ASD has a reproducible SPP1+ microglial state that is characterized by lipid-metabolic remodeling and heightened phagocytosis machinery </w:t>
      </w:r>
    </w:p>
    <w:p w:rsidR="007E3D1A" w:rsidRPr="007E3D1A" w:rsidRDefault="007E3D1A" w:rsidP="007560A8">
      <w:pPr>
        <w:pStyle w:val="a9"/>
        <w:numPr>
          <w:ilvl w:val="0"/>
          <w:numId w:val="3"/>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This state is a specific signature as opposed to a general inflammatory signature</w:t>
      </w:r>
    </w:p>
    <w:p w:rsidR="007E3D1A" w:rsidRPr="007E3D1A" w:rsidRDefault="007E3D1A" w:rsidP="007560A8">
      <w:p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The analyses, especially the cross-functional analyses, presented have clues to interesting biology. However, there need to be revisions to the presentation and interpretation of the data to make these claims more compelling. The specificity of SPP1+ microglia cluster and functional relevance can be improved as well as the rationale of focusing on cluster 2.</w:t>
      </w:r>
    </w:p>
    <w:p w:rsidR="007E3D1A" w:rsidRPr="007E3D1A" w:rsidRDefault="007E3D1A" w:rsidP="007560A8">
      <w:pPr>
        <w:jc w:val="both"/>
        <w:rPr>
          <w:rFonts w:ascii="Merriweather Sans" w:hAnsi="Merriweather Sans"/>
          <w:color w:val="222222"/>
          <w:spacing w:val="2"/>
          <w:sz w:val="21"/>
          <w:szCs w:val="21"/>
          <w:shd w:val="clear" w:color="auto" w:fill="EBF1F5"/>
        </w:rPr>
      </w:pPr>
    </w:p>
    <w:p w:rsidR="007E3D1A" w:rsidRPr="007E3D1A" w:rsidRDefault="007E3D1A" w:rsidP="007560A8">
      <w:p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Major points for revision:</w:t>
      </w:r>
    </w:p>
    <w:p w:rsidR="007E3D1A" w:rsidRPr="007E3D1A" w:rsidRDefault="007E3D1A" w:rsidP="007560A8">
      <w:pPr>
        <w:pStyle w:val="a9"/>
        <w:numPr>
          <w:ilvl w:val="0"/>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Definition of SPP1+ microglia state in ASD: key to your paper is defining microglial cluster 2 as the key microglia state contributing to ASD and with a specific signature of phagocytosis. The data currently presented do not convey why cluster 2 was chosen as uniquely interesting and contributing to ASD. One way to address this is to generally provide more information about the other clusters including defining genes and proportions in control vs ASD. Specific details about additional analyses and explanations that would strengthen the case for the uniqueness of cluster 2 are listed below.</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To get to the identification of cluster 2/SPP1+ microglia cluster, you first show a UMAP in Figure1B. Can you display this UMAP with a unique color for each cluster? It is not possible to delineate the closely neighboring clusters like 0, 2, 6, and 7 given the current visualization. Further, you say that a majority of cells are in homeostatic clusters 0 and 1. Can you show that these clusters are marked by high expression of homeostatic markers? I do not see such evidence here or in the supplemental figures or tables. I have not </w:t>
      </w:r>
      <w:r w:rsidRPr="007E3D1A">
        <w:rPr>
          <w:rFonts w:ascii="Merriweather Sans" w:hAnsi="Merriweather Sans"/>
          <w:color w:val="222222"/>
          <w:spacing w:val="2"/>
          <w:sz w:val="21"/>
          <w:szCs w:val="21"/>
          <w:shd w:val="clear" w:color="auto" w:fill="EBF1F5"/>
        </w:rPr>
        <w:lastRenderedPageBreak/>
        <w:t>seen two clusters representing homeostatic microglia in other single cell/</w:t>
      </w:r>
      <w:proofErr w:type="spellStart"/>
      <w:r w:rsidRPr="007E3D1A">
        <w:rPr>
          <w:rFonts w:ascii="Merriweather Sans" w:hAnsi="Merriweather Sans"/>
          <w:color w:val="222222"/>
          <w:spacing w:val="2"/>
          <w:sz w:val="21"/>
          <w:szCs w:val="21"/>
          <w:shd w:val="clear" w:color="auto" w:fill="EBF1F5"/>
        </w:rPr>
        <w:t>nuc</w:t>
      </w:r>
      <w:proofErr w:type="spellEnd"/>
      <w:r w:rsidRPr="007E3D1A">
        <w:rPr>
          <w:rFonts w:ascii="Merriweather Sans" w:hAnsi="Merriweather Sans"/>
          <w:color w:val="222222"/>
          <w:spacing w:val="2"/>
          <w:sz w:val="21"/>
          <w:szCs w:val="21"/>
          <w:shd w:val="clear" w:color="auto" w:fill="EBF1F5"/>
        </w:rPr>
        <w:t xml:space="preserve"> microglia datasets. Typically, there is only one homeostatic cluster that represents the majority of microglia cells. Can you also perform cluster marker analysis for each cluster and show the top genes differentiating each cluster? It is not clear to me why you identified cluster 2 as an interesting cluster to pursue considering there are 14 other very distinct clusters.</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Similarly, can you make the plot seen in Figure 1C for all the clusters? The plot nicely shows the biological spread of cluster 2 in control and ASD. It would be more convincing that cluster 2 is on special interest if it is the only cluster enriched in ASD. Along similar lines, it would be interesting to see which cluster is then depleted in ASD. </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You say “Cluster 2 was distinguished by the acquisition of specific activation markers, most notably SPP1 (</w:t>
      </w:r>
      <w:proofErr w:type="spellStart"/>
      <w:r w:rsidRPr="007E3D1A">
        <w:rPr>
          <w:rFonts w:ascii="Merriweather Sans" w:hAnsi="Merriweather Sans"/>
          <w:color w:val="222222"/>
          <w:spacing w:val="2"/>
          <w:sz w:val="21"/>
          <w:szCs w:val="21"/>
          <w:shd w:val="clear" w:color="auto" w:fill="EBF1F5"/>
        </w:rPr>
        <w:t>Osteopontin</w:t>
      </w:r>
      <w:proofErr w:type="spellEnd"/>
      <w:r w:rsidRPr="007E3D1A">
        <w:rPr>
          <w:rFonts w:ascii="Merriweather Sans" w:hAnsi="Merriweather Sans"/>
          <w:color w:val="222222"/>
          <w:spacing w:val="2"/>
          <w:sz w:val="21"/>
          <w:szCs w:val="21"/>
          <w:shd w:val="clear" w:color="auto" w:fill="EBF1F5"/>
        </w:rPr>
        <w:t>), GAS6, APOE, CD74, and C3, while retaining core microglial signatures (Figure 1D; full marker list provided in Supplementary Table S1).” SPP1, GAS6, APOE, and CD74 are increased in cluster 2, but they are not the most enriched genes. C3 appears to not be in the supplemental table. How did you choose these genes as the key marker genes of cluster 2? It also appears in Figure 1D that these genes are not exclusively or the highest expressed in cluster 2. Spp1 is higher in cluster 11 and APOE in cluster 5 and 11 compared to cluster 2. The analysis in my point 1a will also help address my question about why you picked these genes as the defining markers.</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Here you claim that SPP1 is expressed by cluster 2 microglia. Previously published work (De Schepper 2023) shows Spp1 is produced my perivascular cells and induces microglial synaptic pruning. Can you show Spp1 expression in the larger UMAP with all cell types to add to your working model that microglial SPP1 is the relevant signal for ASD?</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You say that cluster 2 “may not represent generalized inflammation, but rather a functional specialization towards engulfment”. However, your gene-set enrichment analysis shows several terms for cell activation. </w:t>
      </w:r>
    </w:p>
    <w:p w:rsidR="007E3D1A" w:rsidRPr="007E3D1A" w:rsidRDefault="007E3D1A" w:rsidP="007560A8">
      <w:pPr>
        <w:pStyle w:val="a9"/>
        <w:numPr>
          <w:ilvl w:val="0"/>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Microglia-neuron crosstalk: I appreciate the microglia-neuron crosstalk analysis since there is a lot of data showing neuron carry a large genetic and DEG burden in ASD. I did not understand how the data showed in the manuscript strongly support crosstalk.</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lastRenderedPageBreak/>
        <w:t>In supplemental Figure3, you show that the microglia states are not key hubs. What made you continue investigating their intercellular signaling axes?</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You state that “downstream pathway-level analyses highlighted enriched microglia–neuron interaction axes including SPP1–CD44 and GAS6–MERTK (Figure 3A)”. I do not see how the plot in Figure3A indicates SPP1-CD44 and GAS6-MERTK.</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How do you interpret the GAS6-MERTK axis for </w:t>
      </w:r>
      <w:proofErr w:type="spellStart"/>
      <w:r w:rsidRPr="007E3D1A">
        <w:rPr>
          <w:rFonts w:ascii="Merriweather Sans" w:hAnsi="Merriweather Sans"/>
          <w:color w:val="222222"/>
          <w:spacing w:val="2"/>
          <w:sz w:val="21"/>
          <w:szCs w:val="21"/>
          <w:shd w:val="clear" w:color="auto" w:fill="EBF1F5"/>
        </w:rPr>
        <w:t>MG_Risk</w:t>
      </w:r>
      <w:proofErr w:type="spellEnd"/>
      <w:r w:rsidRPr="007E3D1A">
        <w:rPr>
          <w:rFonts w:ascii="Merriweather Sans" w:hAnsi="Merriweather Sans"/>
          <w:color w:val="222222"/>
          <w:spacing w:val="2"/>
          <w:sz w:val="21"/>
          <w:szCs w:val="21"/>
          <w:shd w:val="clear" w:color="auto" w:fill="EBF1F5"/>
        </w:rPr>
        <w:t xml:space="preserve"> </w:t>
      </w:r>
      <w:r w:rsidRPr="007E3D1A">
        <w:rPr>
          <w:rFonts w:ascii="Merriweather Sans" w:hAnsi="Merriweather Sans"/>
          <w:color w:val="222222"/>
          <w:spacing w:val="2"/>
          <w:sz w:val="21"/>
          <w:szCs w:val="21"/>
          <w:shd w:val="clear" w:color="auto" w:fill="EBF1F5"/>
        </w:rPr>
        <w:sym w:font="Wingdings" w:char="F0E0"/>
      </w:r>
      <w:r w:rsidRPr="007E3D1A">
        <w:rPr>
          <w:rFonts w:ascii="Merriweather Sans" w:hAnsi="Merriweather Sans"/>
          <w:color w:val="222222"/>
          <w:spacing w:val="2"/>
          <w:sz w:val="21"/>
          <w:szCs w:val="21"/>
          <w:shd w:val="clear" w:color="auto" w:fill="EBF1F5"/>
        </w:rPr>
        <w:t xml:space="preserve"> AST in the context of synaptic pruning? Can you reinforce this by looking at the astrocyte single cell sequencing data?  </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Do you think the SPP1-CD44 and </w:t>
      </w:r>
      <w:proofErr w:type="gramStart"/>
      <w:r w:rsidRPr="007E3D1A">
        <w:rPr>
          <w:rFonts w:ascii="Merriweather Sans" w:hAnsi="Merriweather Sans"/>
          <w:color w:val="222222"/>
          <w:spacing w:val="2"/>
          <w:sz w:val="21"/>
          <w:szCs w:val="21"/>
          <w:shd w:val="clear" w:color="auto" w:fill="EBF1F5"/>
        </w:rPr>
        <w:t>the  GAS</w:t>
      </w:r>
      <w:proofErr w:type="gramEnd"/>
      <w:r w:rsidRPr="007E3D1A">
        <w:rPr>
          <w:rFonts w:ascii="Merriweather Sans" w:hAnsi="Merriweather Sans"/>
          <w:color w:val="222222"/>
          <w:spacing w:val="2"/>
          <w:sz w:val="21"/>
          <w:szCs w:val="21"/>
          <w:shd w:val="clear" w:color="auto" w:fill="EBF1F5"/>
        </w:rPr>
        <w:t>6-MERTK signals are independent of one another?</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You state, “The robust upregulation of GAS6 ligand expression specifically within the risk cluster (Figure 3C).” However, this plot shows similar profiles of GAS6 expression in cluster 2 and 16.</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The SPP1 Expression vs DLG4 expression is compelling. Since this figure (Figure 3D-E) is bulk data, I think it would be helpful to show in main or supplemental the expression of SPP1 by all cell types in control and ASD samples. The manuscript is trying to make the case that microglial SPP1 is important but other cell types also express SPP1. By showing SPP1 expression in your other annotated cells in control and ASD, you can enhance your point about the importance of microglial SPP1.</w:t>
      </w:r>
    </w:p>
    <w:p w:rsidR="007E3D1A" w:rsidRPr="007E3D1A" w:rsidRDefault="007E3D1A" w:rsidP="007560A8">
      <w:pPr>
        <w:pStyle w:val="a9"/>
        <w:numPr>
          <w:ilvl w:val="0"/>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Lipid metabolic remodeling and TFs</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Figure 4A was constructed based on manually curated gene sets. Can the list of genes be included in a supplemental figure? Can you also explain more why you think these gene signatures did not emerge from your DEG analysis in Figure 1E?</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You state that, “This pathway controls the synthesis of potent lipid inflammatory mediators, including prostaglandins and leukotrienes, via rate-limiting enzymes such as PTGS2 (COX-2) and ALOX5, which were specifically enriched in Cluster 2 (Supplementary Figure S4B).” However, this plot shows other clusters indeed also express some of these genes and at levels higher than cluster 2. </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You state that, “Crucially, the top-ranked drivers of this state included NFKB1 and RELA, the canonical effectors of the NF-</w:t>
      </w:r>
      <w:proofErr w:type="spellStart"/>
      <w:r w:rsidRPr="007E3D1A">
        <w:rPr>
          <w:rFonts w:ascii="Merriweather Sans" w:hAnsi="Merriweather Sans"/>
          <w:color w:val="222222"/>
          <w:spacing w:val="2"/>
          <w:sz w:val="21"/>
          <w:szCs w:val="21"/>
          <w:shd w:val="clear" w:color="auto" w:fill="EBF1F5"/>
        </w:rPr>
        <w:t>kappaB</w:t>
      </w:r>
      <w:proofErr w:type="spellEnd"/>
      <w:r w:rsidRPr="007E3D1A">
        <w:rPr>
          <w:rFonts w:ascii="Merriweather Sans" w:hAnsi="Merriweather Sans"/>
          <w:color w:val="222222"/>
          <w:spacing w:val="2"/>
          <w:sz w:val="21"/>
          <w:szCs w:val="21"/>
          <w:shd w:val="clear" w:color="auto" w:fill="EBF1F5"/>
        </w:rPr>
        <w:t xml:space="preserve"> signaling pathway.”  However, the Figure 5A shows ELF1, GABPA, STAT1 as top regulators of cluster 2. Additionally, you state that, </w:t>
      </w:r>
      <w:r w:rsidRPr="007E3D1A">
        <w:rPr>
          <w:rFonts w:ascii="Merriweather Sans" w:hAnsi="Merriweather Sans"/>
          <w:color w:val="222222"/>
          <w:spacing w:val="2"/>
          <w:sz w:val="21"/>
          <w:szCs w:val="21"/>
          <w:shd w:val="clear" w:color="auto" w:fill="EBF1F5"/>
        </w:rPr>
        <w:lastRenderedPageBreak/>
        <w:t>“The spatial restriction of these high-activity states to Cluster 2 was visually confirmed via feature plots (Figure 5B). The spatial restriction of these high-activity states to Cluster 2 was visually confirmed via feature plots (Figure 5B).” However, NFKB1 looks highest in cluster 7 and this is also visualized in Figure 5A. And, you state, “Most intriguingly, we identified NR1H2 (Liver X Receptor beta, LXR-beta) as a specific master regulator in Cluster 2”. Again, this does not look to be the case for cluster 2 but rather cluster 7.</w:t>
      </w:r>
    </w:p>
    <w:p w:rsidR="007E3D1A" w:rsidRPr="007E3D1A" w:rsidRDefault="007E3D1A" w:rsidP="007560A8">
      <w:pPr>
        <w:pStyle w:val="a9"/>
        <w:numPr>
          <w:ilvl w:val="0"/>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Reproducibility: another key claim of the paper is the reproducible nature of the findings. I applaud the authors for including such analyses in their manuscript. The additional single nucleus transcriptomics, bulk RNA sequencing, and plasma proteomics help make the points of the paper strong. However, I do question the depth of the analysis for the single nucleus and bulk RNA sequencing datasets. </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For the single nucleus dataset, I like the approach of the module score. However, the methods state, “To ensure the reproducibility of the "Risk Microglia" signature across sequencing platforms, we performed a projection-based validation on the </w:t>
      </w:r>
      <w:proofErr w:type="spellStart"/>
      <w:r w:rsidRPr="007E3D1A">
        <w:rPr>
          <w:rFonts w:ascii="Merriweather Sans" w:hAnsi="Merriweather Sans"/>
          <w:color w:val="222222"/>
          <w:spacing w:val="2"/>
          <w:sz w:val="21"/>
          <w:szCs w:val="21"/>
          <w:shd w:val="clear" w:color="auto" w:fill="EBF1F5"/>
        </w:rPr>
        <w:t>Velmeshev</w:t>
      </w:r>
      <w:proofErr w:type="spellEnd"/>
      <w:r w:rsidRPr="007E3D1A">
        <w:rPr>
          <w:rFonts w:ascii="Merriweather Sans" w:hAnsi="Merriweather Sans"/>
          <w:color w:val="222222"/>
          <w:spacing w:val="2"/>
          <w:sz w:val="21"/>
          <w:szCs w:val="21"/>
          <w:shd w:val="clear" w:color="auto" w:fill="EBF1F5"/>
        </w:rPr>
        <w:t xml:space="preserve"> et al. snRNA-seq dataset. We derived a specific gene signature from the </w:t>
      </w:r>
      <w:proofErr w:type="spellStart"/>
      <w:r w:rsidRPr="007E3D1A">
        <w:rPr>
          <w:rFonts w:ascii="Merriweather Sans" w:hAnsi="Merriweather Sans"/>
          <w:color w:val="222222"/>
          <w:spacing w:val="2"/>
          <w:sz w:val="21"/>
          <w:szCs w:val="21"/>
          <w:shd w:val="clear" w:color="auto" w:fill="EBF1F5"/>
        </w:rPr>
        <w:t>PsychENCODE</w:t>
      </w:r>
      <w:proofErr w:type="spellEnd"/>
      <w:r w:rsidRPr="007E3D1A">
        <w:rPr>
          <w:rFonts w:ascii="Merriweather Sans" w:hAnsi="Merriweather Sans"/>
          <w:color w:val="222222"/>
          <w:spacing w:val="2"/>
          <w:sz w:val="21"/>
          <w:szCs w:val="21"/>
          <w:shd w:val="clear" w:color="auto" w:fill="EBF1F5"/>
        </w:rPr>
        <w:t xml:space="preserve"> Cluster 2 (Risk) and Cluster 4 (Homeostatic) populations. These signatures were scored in the validation dataset using </w:t>
      </w:r>
      <w:proofErr w:type="spellStart"/>
      <w:r w:rsidRPr="007E3D1A">
        <w:rPr>
          <w:rFonts w:ascii="Merriweather Sans" w:hAnsi="Merriweather Sans"/>
          <w:color w:val="222222"/>
          <w:spacing w:val="2"/>
          <w:sz w:val="21"/>
          <w:szCs w:val="21"/>
          <w:shd w:val="clear" w:color="auto" w:fill="EBF1F5"/>
        </w:rPr>
        <w:t>AddModuleScore</w:t>
      </w:r>
      <w:proofErr w:type="spellEnd"/>
      <w:r w:rsidRPr="007E3D1A">
        <w:rPr>
          <w:rFonts w:ascii="Merriweather Sans" w:hAnsi="Merriweather Sans"/>
          <w:color w:val="222222"/>
          <w:spacing w:val="2"/>
          <w:sz w:val="21"/>
          <w:szCs w:val="21"/>
          <w:shd w:val="clear" w:color="auto" w:fill="EBF1F5"/>
        </w:rPr>
        <w:t xml:space="preserve">, and differences between ASD and control subjects were assessed using the Wilcoxon rank-sum test.” Earlier in the text you state cluster 0 and 1 represent the homeostatic cluster, so I am confused if the module score plotted in Figure2 is representative of the analyses done for Figure1. </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In Figure 1C you plotted the microglia cluster 2 proportion per individual which is a statistically rigorous way to represent the data. Can you apply the same plotting and analysis for Figure 2B and C? Representing the data as per cell inflates the size of the sample pool. </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Can you use this dataset to confirm other claims you make later in the manuscript about eicosanoid pathway and transcription factors?</w:t>
      </w:r>
    </w:p>
    <w:p w:rsidR="007E3D1A" w:rsidRPr="007E3D1A" w:rsidRDefault="007E3D1A" w:rsidP="007560A8">
      <w:pPr>
        <w:pStyle w:val="a9"/>
        <w:numPr>
          <w:ilvl w:val="1"/>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Lastly, it has been previously established (Thrupp 2019) that single nucleus sequencing of microglia specifically </w:t>
      </w:r>
      <w:proofErr w:type="spellStart"/>
      <w:r w:rsidRPr="007E3D1A">
        <w:rPr>
          <w:rFonts w:ascii="Merriweather Sans" w:hAnsi="Merriweather Sans"/>
          <w:color w:val="222222"/>
          <w:spacing w:val="2"/>
          <w:sz w:val="21"/>
          <w:szCs w:val="21"/>
          <w:shd w:val="clear" w:color="auto" w:fill="EBF1F5"/>
        </w:rPr>
        <w:t>undersamples</w:t>
      </w:r>
      <w:proofErr w:type="spellEnd"/>
      <w:r w:rsidRPr="007E3D1A">
        <w:rPr>
          <w:rFonts w:ascii="Merriweather Sans" w:hAnsi="Merriweather Sans"/>
          <w:color w:val="222222"/>
          <w:spacing w:val="2"/>
          <w:sz w:val="21"/>
          <w:szCs w:val="21"/>
          <w:shd w:val="clear" w:color="auto" w:fill="EBF1F5"/>
        </w:rPr>
        <w:t xml:space="preserve"> microglia activation genes like SPP1, APOE, and CD74. Does this affect the resolution that you can achieve using single nucleus sequencing as your comparison/validation tool?</w:t>
      </w:r>
    </w:p>
    <w:p w:rsidR="007E3D1A" w:rsidRPr="007E3D1A" w:rsidRDefault="007E3D1A" w:rsidP="007560A8">
      <w:pPr>
        <w:pStyle w:val="a9"/>
        <w:numPr>
          <w:ilvl w:val="0"/>
          <w:numId w:val="1"/>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Transcription factor analysis</w:t>
      </w:r>
    </w:p>
    <w:p w:rsidR="007E3D1A" w:rsidRPr="007E3D1A" w:rsidRDefault="007E3D1A" w:rsidP="007560A8">
      <w:pPr>
        <w:jc w:val="both"/>
        <w:rPr>
          <w:rFonts w:ascii="Merriweather Sans" w:hAnsi="Merriweather Sans"/>
          <w:color w:val="222222"/>
          <w:spacing w:val="2"/>
          <w:sz w:val="21"/>
          <w:szCs w:val="21"/>
          <w:shd w:val="clear" w:color="auto" w:fill="EBF1F5"/>
        </w:rPr>
      </w:pPr>
    </w:p>
    <w:p w:rsidR="007E3D1A" w:rsidRPr="007E3D1A" w:rsidRDefault="007E3D1A" w:rsidP="007560A8">
      <w:p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Minor points for revision:</w:t>
      </w:r>
    </w:p>
    <w:p w:rsidR="007E3D1A" w:rsidRPr="007E3D1A" w:rsidRDefault="007E3D1A" w:rsidP="007560A8">
      <w:pPr>
        <w:pStyle w:val="a9"/>
        <w:numPr>
          <w:ilvl w:val="0"/>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Figure 1</w:t>
      </w:r>
    </w:p>
    <w:p w:rsidR="007E3D1A" w:rsidRPr="007E3D1A" w:rsidRDefault="007E3D1A" w:rsidP="007560A8">
      <w:pPr>
        <w:pStyle w:val="a9"/>
        <w:numPr>
          <w:ilvl w:val="1"/>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High quality control and doublet removal for </w:t>
      </w:r>
      <w:proofErr w:type="spellStart"/>
      <w:r w:rsidRPr="007E3D1A">
        <w:rPr>
          <w:rFonts w:ascii="Merriweather Sans" w:hAnsi="Merriweather Sans"/>
          <w:color w:val="222222"/>
          <w:spacing w:val="2"/>
          <w:sz w:val="21"/>
          <w:szCs w:val="21"/>
          <w:shd w:val="clear" w:color="auto" w:fill="EBF1F5"/>
        </w:rPr>
        <w:t>PsychENCODE</w:t>
      </w:r>
      <w:proofErr w:type="spellEnd"/>
      <w:r w:rsidRPr="007E3D1A">
        <w:rPr>
          <w:rFonts w:ascii="Merriweather Sans" w:hAnsi="Merriweather Sans"/>
          <w:color w:val="222222"/>
          <w:spacing w:val="2"/>
          <w:sz w:val="21"/>
          <w:szCs w:val="21"/>
          <w:shd w:val="clear" w:color="auto" w:fill="EBF1F5"/>
        </w:rPr>
        <w:t xml:space="preserve">: different cell types have different profiles for </w:t>
      </w:r>
      <w:proofErr w:type="spellStart"/>
      <w:r w:rsidRPr="007E3D1A">
        <w:rPr>
          <w:rFonts w:ascii="Merriweather Sans" w:hAnsi="Merriweather Sans"/>
          <w:color w:val="222222"/>
          <w:spacing w:val="2"/>
          <w:sz w:val="21"/>
          <w:szCs w:val="21"/>
          <w:shd w:val="clear" w:color="auto" w:fill="EBF1F5"/>
        </w:rPr>
        <w:t>nFeature_RNA</w:t>
      </w:r>
      <w:proofErr w:type="spellEnd"/>
      <w:r w:rsidRPr="007E3D1A">
        <w:rPr>
          <w:rFonts w:ascii="Merriweather Sans" w:hAnsi="Merriweather Sans"/>
          <w:color w:val="222222"/>
          <w:spacing w:val="2"/>
          <w:sz w:val="21"/>
          <w:szCs w:val="21"/>
          <w:shd w:val="clear" w:color="auto" w:fill="EBF1F5"/>
        </w:rPr>
        <w:t xml:space="preserve"> and </w:t>
      </w:r>
      <w:proofErr w:type="spellStart"/>
      <w:r w:rsidRPr="007E3D1A">
        <w:rPr>
          <w:rFonts w:ascii="Merriweather Sans" w:hAnsi="Merriweather Sans"/>
          <w:color w:val="222222"/>
          <w:spacing w:val="2"/>
          <w:sz w:val="21"/>
          <w:szCs w:val="21"/>
          <w:shd w:val="clear" w:color="auto" w:fill="EBF1F5"/>
        </w:rPr>
        <w:t>nCount_RNA</w:t>
      </w:r>
      <w:proofErr w:type="spellEnd"/>
      <w:r w:rsidRPr="007E3D1A">
        <w:rPr>
          <w:rFonts w:ascii="Merriweather Sans" w:hAnsi="Merriweather Sans"/>
          <w:color w:val="222222"/>
          <w:spacing w:val="2"/>
          <w:sz w:val="21"/>
          <w:szCs w:val="21"/>
          <w:shd w:val="clear" w:color="auto" w:fill="EBF1F5"/>
        </w:rPr>
        <w:t xml:space="preserve">. Do your results change if you first assign a cell type based on marker genes, then plot the </w:t>
      </w:r>
      <w:proofErr w:type="spellStart"/>
      <w:r w:rsidRPr="007E3D1A">
        <w:rPr>
          <w:rFonts w:ascii="Merriweather Sans" w:hAnsi="Merriweather Sans"/>
          <w:color w:val="222222"/>
          <w:spacing w:val="2"/>
          <w:sz w:val="21"/>
          <w:szCs w:val="21"/>
          <w:shd w:val="clear" w:color="auto" w:fill="EBF1F5"/>
        </w:rPr>
        <w:t>nFeature_RNA</w:t>
      </w:r>
      <w:proofErr w:type="spellEnd"/>
      <w:r w:rsidRPr="007E3D1A">
        <w:rPr>
          <w:rFonts w:ascii="Merriweather Sans" w:hAnsi="Merriweather Sans"/>
          <w:color w:val="222222"/>
          <w:spacing w:val="2"/>
          <w:sz w:val="21"/>
          <w:szCs w:val="21"/>
          <w:shd w:val="clear" w:color="auto" w:fill="EBF1F5"/>
        </w:rPr>
        <w:t xml:space="preserve"> and </w:t>
      </w:r>
      <w:proofErr w:type="spellStart"/>
      <w:r w:rsidRPr="007E3D1A">
        <w:rPr>
          <w:rFonts w:ascii="Merriweather Sans" w:hAnsi="Merriweather Sans"/>
          <w:color w:val="222222"/>
          <w:spacing w:val="2"/>
          <w:sz w:val="21"/>
          <w:szCs w:val="21"/>
          <w:shd w:val="clear" w:color="auto" w:fill="EBF1F5"/>
        </w:rPr>
        <w:t>nCount_RNA</w:t>
      </w:r>
      <w:proofErr w:type="spellEnd"/>
      <w:r w:rsidRPr="007E3D1A">
        <w:rPr>
          <w:rFonts w:ascii="Merriweather Sans" w:hAnsi="Merriweather Sans"/>
          <w:color w:val="222222"/>
          <w:spacing w:val="2"/>
          <w:sz w:val="21"/>
          <w:szCs w:val="21"/>
          <w:shd w:val="clear" w:color="auto" w:fill="EBF1F5"/>
        </w:rPr>
        <w:t xml:space="preserve"> and check if your thresholds are removing low quality cells</w:t>
      </w:r>
    </w:p>
    <w:p w:rsidR="007E3D1A" w:rsidRPr="007E3D1A" w:rsidRDefault="007E3D1A" w:rsidP="007560A8">
      <w:pPr>
        <w:pStyle w:val="a9"/>
        <w:numPr>
          <w:ilvl w:val="1"/>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Can you include in the supplement a UMAP plotting cells from each donor to confirm/visualize the claim that the Harmony algorithm successfully integrated the datasets without losing biological variation. </w:t>
      </w:r>
    </w:p>
    <w:p w:rsidR="007E3D1A" w:rsidRPr="007E3D1A" w:rsidRDefault="007E3D1A" w:rsidP="007560A8">
      <w:pPr>
        <w:pStyle w:val="a9"/>
        <w:numPr>
          <w:ilvl w:val="1"/>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Can you include UMAPs (in main or supplemental) displaying each cell class’s marker gene distribution? Additionally, can you include another marker for microglia since C3 is also expressed by astrocytes. Canonical markers include SPI1 (which you also note later in the text), AIF1, and CX3CR1. I ask about this visualization because there appear to be three satellite clusters (one for AST, MG, and OPC) which is usually indicative of a different cell type, confounding technical variable, or cycling cells. </w:t>
      </w:r>
    </w:p>
    <w:p w:rsidR="007E3D1A" w:rsidRPr="007E3D1A" w:rsidRDefault="007E3D1A" w:rsidP="007560A8">
      <w:pPr>
        <w:pStyle w:val="a9"/>
        <w:numPr>
          <w:ilvl w:val="1"/>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Can you show (in main or supplemental) the proportion of each cell type in control versus ASD? It would be interesting to see if single cell transcriptomic datasets reflect the increased density of microglia seen in histological data of control versus ASD.</w:t>
      </w:r>
    </w:p>
    <w:p w:rsidR="007E3D1A" w:rsidRPr="007E3D1A" w:rsidRDefault="007E3D1A" w:rsidP="007560A8">
      <w:pPr>
        <w:pStyle w:val="a9"/>
        <w:numPr>
          <w:ilvl w:val="1"/>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 xml:space="preserve">Can you list example genes underlying the gene-sets in Figure 1E. </w:t>
      </w:r>
    </w:p>
    <w:p w:rsidR="007E3D1A" w:rsidRPr="007E3D1A" w:rsidRDefault="007E3D1A" w:rsidP="007560A8">
      <w:pPr>
        <w:pStyle w:val="a9"/>
        <w:numPr>
          <w:ilvl w:val="0"/>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Figure 2</w:t>
      </w:r>
    </w:p>
    <w:p w:rsidR="007E3D1A" w:rsidRPr="007E3D1A" w:rsidRDefault="007E3D1A" w:rsidP="007560A8">
      <w:pPr>
        <w:pStyle w:val="a9"/>
        <w:numPr>
          <w:ilvl w:val="1"/>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What is the cluster that is only made of ASD cells in Figure 2A? That is strikingly specific to ASD.</w:t>
      </w:r>
    </w:p>
    <w:p w:rsidR="007E3D1A" w:rsidRPr="007E3D1A" w:rsidRDefault="007E3D1A" w:rsidP="007560A8">
      <w:pPr>
        <w:pStyle w:val="a9"/>
        <w:numPr>
          <w:ilvl w:val="0"/>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Figure 5C</w:t>
      </w:r>
    </w:p>
    <w:p w:rsidR="007E3D1A" w:rsidRPr="007E3D1A" w:rsidRDefault="007E3D1A" w:rsidP="007560A8">
      <w:pPr>
        <w:pStyle w:val="a9"/>
        <w:numPr>
          <w:ilvl w:val="1"/>
          <w:numId w:val="2"/>
        </w:numPr>
        <w:jc w:val="both"/>
        <w:rPr>
          <w:rFonts w:ascii="Merriweather Sans" w:hAnsi="Merriweather Sans"/>
          <w:color w:val="222222"/>
          <w:spacing w:val="2"/>
          <w:sz w:val="21"/>
          <w:szCs w:val="21"/>
          <w:shd w:val="clear" w:color="auto" w:fill="EBF1F5"/>
        </w:rPr>
      </w:pPr>
      <w:r w:rsidRPr="007E3D1A">
        <w:rPr>
          <w:rFonts w:ascii="Merriweather Sans" w:hAnsi="Merriweather Sans"/>
          <w:color w:val="222222"/>
          <w:spacing w:val="2"/>
          <w:sz w:val="21"/>
          <w:szCs w:val="21"/>
          <w:shd w:val="clear" w:color="auto" w:fill="EBF1F5"/>
        </w:rPr>
        <w:t>Why does figure 5C look different from supplemental figure 4B?</w:t>
      </w:r>
    </w:p>
    <w:p w:rsidR="007E3D1A" w:rsidRDefault="007E3D1A" w:rsidP="007560A8">
      <w:pPr>
        <w:jc w:val="both"/>
        <w:rPr>
          <w:rFonts w:ascii="Merriweather Sans" w:hAnsi="Merriweather Sans"/>
          <w:b/>
          <w:bCs/>
          <w:color w:val="222222"/>
          <w:spacing w:val="2"/>
          <w:sz w:val="28"/>
          <w:szCs w:val="28"/>
          <w:shd w:val="clear" w:color="auto" w:fill="EBF1F5"/>
        </w:rPr>
      </w:pPr>
    </w:p>
    <w:p w:rsidR="007E3D1A" w:rsidRDefault="007E3D1A" w:rsidP="007560A8">
      <w:pPr>
        <w:jc w:val="both"/>
        <w:rPr>
          <w:rFonts w:ascii="Merriweather Sans" w:hAnsi="Merriweather Sans"/>
          <w:b/>
          <w:bCs/>
          <w:color w:val="222222"/>
          <w:spacing w:val="2"/>
          <w:sz w:val="28"/>
          <w:szCs w:val="28"/>
          <w:shd w:val="clear" w:color="auto" w:fill="EBF1F5"/>
        </w:rPr>
      </w:pPr>
    </w:p>
    <w:p w:rsidR="007E3D1A" w:rsidRDefault="007E3D1A" w:rsidP="007560A8">
      <w:pPr>
        <w:jc w:val="both"/>
        <w:rPr>
          <w:rFonts w:ascii="Merriweather Sans" w:hAnsi="Merriweather Sans"/>
          <w:b/>
          <w:bCs/>
          <w:color w:val="222222"/>
          <w:spacing w:val="2"/>
          <w:sz w:val="28"/>
          <w:szCs w:val="28"/>
          <w:shd w:val="clear" w:color="auto" w:fill="EBF1F5"/>
        </w:rPr>
      </w:pPr>
    </w:p>
    <w:p w:rsidR="00BD37F0" w:rsidRDefault="007E3D1A" w:rsidP="007560A8">
      <w:pPr>
        <w:jc w:val="both"/>
        <w:rPr>
          <w:rFonts w:ascii="Merriweather Sans" w:hAnsi="Merriweather Sans"/>
          <w:b/>
          <w:bCs/>
          <w:color w:val="222222"/>
          <w:spacing w:val="2"/>
          <w:sz w:val="28"/>
          <w:szCs w:val="28"/>
          <w:shd w:val="clear" w:color="auto" w:fill="EBF1F5"/>
        </w:rPr>
      </w:pPr>
      <w:r w:rsidRPr="007E3D1A">
        <w:rPr>
          <w:rFonts w:ascii="Merriweather Sans" w:hAnsi="Merriweather Sans"/>
          <w:b/>
          <w:bCs/>
          <w:color w:val="222222"/>
          <w:spacing w:val="2"/>
          <w:sz w:val="28"/>
          <w:szCs w:val="28"/>
          <w:shd w:val="clear" w:color="auto" w:fill="EBF1F5"/>
        </w:rPr>
        <w:lastRenderedPageBreak/>
        <w:t xml:space="preserve">Reviewer </w:t>
      </w:r>
      <w:r>
        <w:rPr>
          <w:rFonts w:ascii="Merriweather Sans" w:hAnsi="Merriweather Sans"/>
          <w:b/>
          <w:bCs/>
          <w:color w:val="222222"/>
          <w:spacing w:val="2"/>
          <w:sz w:val="28"/>
          <w:szCs w:val="28"/>
          <w:shd w:val="clear" w:color="auto" w:fill="EBF1F5"/>
        </w:rPr>
        <w:t>2</w:t>
      </w:r>
      <w:r w:rsidRPr="007E3D1A">
        <w:rPr>
          <w:rFonts w:ascii="Merriweather Sans" w:hAnsi="Merriweather Sans"/>
          <w:b/>
          <w:bCs/>
          <w:color w:val="222222"/>
          <w:spacing w:val="2"/>
          <w:sz w:val="28"/>
          <w:szCs w:val="28"/>
          <w:shd w:val="clear" w:color="auto" w:fill="EBF1F5"/>
        </w:rPr>
        <w:t>:</w:t>
      </w:r>
    </w:p>
    <w:p w:rsidR="007E3D1A" w:rsidRDefault="001E7671" w:rsidP="007560A8">
      <w:pPr>
        <w:jc w:val="both"/>
      </w:pPr>
      <w:r>
        <w:rPr>
          <w:rFonts w:ascii="Merriweather Sans" w:hAnsi="Merriweather Sans"/>
          <w:color w:val="222222"/>
          <w:spacing w:val="2"/>
          <w:sz w:val="21"/>
          <w:szCs w:val="21"/>
          <w:shd w:val="clear" w:color="auto" w:fill="EBF1F5"/>
        </w:rPr>
        <w:t xml:space="preserve">This manuscript presents a computational reanalysis of previously published single-nucleus RNA sequencing (snRNA-seq) datasets from human postmortem cortical tissue of individuals with </w:t>
      </w:r>
      <w:proofErr w:type="gramStart"/>
      <w:r>
        <w:rPr>
          <w:rFonts w:ascii="Merriweather Sans" w:hAnsi="Merriweather Sans"/>
          <w:color w:val="222222"/>
          <w:spacing w:val="2"/>
          <w:sz w:val="21"/>
          <w:szCs w:val="21"/>
          <w:shd w:val="clear" w:color="auto" w:fill="EBF1F5"/>
        </w:rPr>
        <w:t>Autism Spectrum Disorder</w:t>
      </w:r>
      <w:proofErr w:type="gramEnd"/>
      <w:r>
        <w:rPr>
          <w:rFonts w:ascii="Merriweather Sans" w:hAnsi="Merriweather Sans"/>
          <w:color w:val="222222"/>
          <w:spacing w:val="2"/>
          <w:sz w:val="21"/>
          <w:szCs w:val="21"/>
          <w:shd w:val="clear" w:color="auto" w:fill="EBF1F5"/>
        </w:rPr>
        <w:t xml:space="preserve"> (ASD) and neurotypical controls. The analyses focused on an ASD-enriched SPP1+ microglial state.</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The work is entirely computational, and it must meet a high standard of methodological transparency, reproducibility, and analytical rigor. In its current form, the manuscript falls short of this standard in several important respects.</w:t>
      </w:r>
      <w:r>
        <w:rPr>
          <w:rFonts w:ascii="Merriweather Sans" w:hAnsi="Merriweather Sans"/>
          <w:color w:val="222222"/>
          <w:spacing w:val="2"/>
          <w:sz w:val="21"/>
          <w:szCs w:val="21"/>
        </w:rPr>
        <w:br/>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Major Comments</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 xml:space="preserve">1. Given that this work is entirely computational, the public release of all analysis code — for example, in a version-controlled repository such as GitHub or </w:t>
      </w:r>
      <w:proofErr w:type="spellStart"/>
      <w:r>
        <w:rPr>
          <w:rFonts w:ascii="Merriweather Sans" w:hAnsi="Merriweather Sans"/>
          <w:color w:val="222222"/>
          <w:spacing w:val="2"/>
          <w:sz w:val="21"/>
          <w:szCs w:val="21"/>
          <w:shd w:val="clear" w:color="auto" w:fill="EBF1F5"/>
        </w:rPr>
        <w:t>Zenodo</w:t>
      </w:r>
      <w:proofErr w:type="spellEnd"/>
      <w:r>
        <w:rPr>
          <w:rFonts w:ascii="Merriweather Sans" w:hAnsi="Merriweather Sans"/>
          <w:color w:val="222222"/>
          <w:spacing w:val="2"/>
          <w:sz w:val="21"/>
          <w:szCs w:val="21"/>
          <w:shd w:val="clear" w:color="auto" w:fill="EBF1F5"/>
        </w:rPr>
        <w:t xml:space="preserve"> — is essential, not merely recommended. Without it, independent replication of the findings is not possible. The authors must make the full analytical pipeline available alongside the manuscript. This should include all preprocessing, integration, clustering, differential expression, pathway enrichment, ligand–receptor, and regulatory network inference steps.</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2. Several methodological aspects are insufficiently described to permit independent replication:</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a. The authors must provide a comprehensive listing of all software packages and version numbers used throughout the analyses.</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 xml:space="preserve">b. The methods used for microglial clustering and </w:t>
      </w:r>
      <w:proofErr w:type="spellStart"/>
      <w:r>
        <w:rPr>
          <w:rFonts w:ascii="Merriweather Sans" w:hAnsi="Merriweather Sans"/>
          <w:color w:val="222222"/>
          <w:spacing w:val="2"/>
          <w:sz w:val="21"/>
          <w:szCs w:val="21"/>
          <w:shd w:val="clear" w:color="auto" w:fill="EBF1F5"/>
        </w:rPr>
        <w:t>subclustering</w:t>
      </w:r>
      <w:proofErr w:type="spellEnd"/>
      <w:r>
        <w:rPr>
          <w:rFonts w:ascii="Merriweather Sans" w:hAnsi="Merriweather Sans"/>
          <w:color w:val="222222"/>
          <w:spacing w:val="2"/>
          <w:sz w:val="21"/>
          <w:szCs w:val="21"/>
          <w:shd w:val="clear" w:color="auto" w:fill="EBF1F5"/>
        </w:rPr>
        <w:t>, including the resolution parameter and any criteria guiding its selection, are not provided. The large number of microglial subclusters identified appears high for this cell type and sample size, and the rationale for this resolution must be explicitly justified. Authors should describe the criteria used to evaluate clustering quality (e.g., silhouette scores, marker gene specificity) and explain why the chosen resolution was preferred over alternatives.</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c. When introducing each published dataset used in the study, the manuscript should clearly summarize the key characteristics of the cohort: number of ASD cases and controls, age range, sex distribution, brain regions sampled, number of nuclei retained after quality control, and sequencing platform. This information is essential for the reader to assess generalizability and to contextualize cross-cohort comparisons.</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 xml:space="preserve">d. The manuscript should provide appropriate literature references supporting the canonical marker genes used for cell type annotation, or include these marker gene </w:t>
      </w:r>
      <w:r>
        <w:rPr>
          <w:rFonts w:ascii="Merriweather Sans" w:hAnsi="Merriweather Sans"/>
          <w:color w:val="222222"/>
          <w:spacing w:val="2"/>
          <w:sz w:val="21"/>
          <w:szCs w:val="21"/>
          <w:shd w:val="clear" w:color="auto" w:fill="EBF1F5"/>
        </w:rPr>
        <w:lastRenderedPageBreak/>
        <w:t>lists in a supplementary table. Similarly, the manually curated metabolic gene sets used for pathway scoring should be made available as supplementary data, as these choices directly affect the central claims of the paper.</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e. The gene signatures used to define the SPP1+ risk state (Cluster 2) and the homeostatic reference population for cross-platform validation must be provided in supplementary data. There is also a notable inconsistency in the manuscript: the homeostatic microglial cluster is referred to as Cluster 4 in the Methods section, but as Clusters 0 and 1 in the Results section. This discrepancy must be resolved and clearly explained throughout the manuscript.</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3. Figures throughout the manuscript would benefit from significant improvements to clarity and internal consistency:</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f. An overview figure summarizing the full analytical workflow would greatly assist readers in following the logic of the study and the relationships between datasets and analyses.</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 xml:space="preserve">g. Figure 1A and 1B should include the number of nuclei (n = XXX). Because panel B shows a </w:t>
      </w:r>
      <w:proofErr w:type="spellStart"/>
      <w:r>
        <w:rPr>
          <w:rFonts w:ascii="Merriweather Sans" w:hAnsi="Merriweather Sans"/>
          <w:color w:val="222222"/>
          <w:spacing w:val="2"/>
          <w:sz w:val="21"/>
          <w:szCs w:val="21"/>
          <w:shd w:val="clear" w:color="auto" w:fill="EBF1F5"/>
        </w:rPr>
        <w:t>subclustering</w:t>
      </w:r>
      <w:proofErr w:type="spellEnd"/>
      <w:r>
        <w:rPr>
          <w:rFonts w:ascii="Merriweather Sans" w:hAnsi="Merriweather Sans"/>
          <w:color w:val="222222"/>
          <w:spacing w:val="2"/>
          <w:sz w:val="21"/>
          <w:szCs w:val="21"/>
          <w:shd w:val="clear" w:color="auto" w:fill="EBF1F5"/>
        </w:rPr>
        <w:t xml:space="preserve"> of the microglia identified in panel A, this relationship should be clearly indicated — for instance, by using a visually distinct color palette (e.g., blue tones rather than grey) so that the subclusters are immediately distinguishable.</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h. Color codes for microglial subclusters should be consistent across all figures (e.g., Figures 3C, 4B, 4C). Using different color palettes for the same populations across panels makes comparisons unnecessarily difficult. For subclusters that are not explicitly discussed in the text, the authors should consider using transparency or a muted color, while highlighting Cluster 2 and the homeostatic clusters (0/1 or 4?) to improve visual focus.</w:t>
      </w:r>
      <w:r>
        <w:rPr>
          <w:rFonts w:ascii="Merriweather Sans" w:hAnsi="Merriweather Sans"/>
          <w:color w:val="222222"/>
          <w:spacing w:val="2"/>
          <w:sz w:val="21"/>
          <w:szCs w:val="21"/>
        </w:rPr>
        <w:br/>
      </w:r>
      <w:proofErr w:type="spellStart"/>
      <w:r>
        <w:rPr>
          <w:rFonts w:ascii="Merriweather Sans" w:hAnsi="Merriweather Sans"/>
          <w:color w:val="222222"/>
          <w:spacing w:val="2"/>
          <w:sz w:val="21"/>
          <w:szCs w:val="21"/>
          <w:shd w:val="clear" w:color="auto" w:fill="EBF1F5"/>
        </w:rPr>
        <w:t>i</w:t>
      </w:r>
      <w:proofErr w:type="spellEnd"/>
      <w:r>
        <w:rPr>
          <w:rFonts w:ascii="Merriweather Sans" w:hAnsi="Merriweather Sans"/>
          <w:color w:val="222222"/>
          <w:spacing w:val="2"/>
          <w:sz w:val="21"/>
          <w:szCs w:val="21"/>
          <w:shd w:val="clear" w:color="auto" w:fill="EBF1F5"/>
        </w:rPr>
        <w:t>. The heatmap and violin plots in Figure 4 appear to present largely redundant information. The authors should consider retaining the most informative visualization in the main figure and moving the other to the supplementary materials.</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 xml:space="preserve">4. The identification of a large number of microglial subclusters, of which only a subset (Clusters 0/1 and 2) </w:t>
      </w:r>
      <w:proofErr w:type="gramStart"/>
      <w:r>
        <w:rPr>
          <w:rFonts w:ascii="Merriweather Sans" w:hAnsi="Merriweather Sans"/>
          <w:color w:val="222222"/>
          <w:spacing w:val="2"/>
          <w:sz w:val="21"/>
          <w:szCs w:val="21"/>
          <w:shd w:val="clear" w:color="auto" w:fill="EBF1F5"/>
        </w:rPr>
        <w:t>are</w:t>
      </w:r>
      <w:proofErr w:type="gramEnd"/>
      <w:r>
        <w:rPr>
          <w:rFonts w:ascii="Merriweather Sans" w:hAnsi="Merriweather Sans"/>
          <w:color w:val="222222"/>
          <w:spacing w:val="2"/>
          <w:sz w:val="21"/>
          <w:szCs w:val="21"/>
          <w:shd w:val="clear" w:color="auto" w:fill="EBF1F5"/>
        </w:rPr>
        <w:t xml:space="preserve"> discussed substantively, is not adequately justified. The authors should address this in the Discussion: what is the biological interpretation of the remaining subclusters? Are they considered biologically meaningful or do they reflect technical variation? Could the primary findings be recapitulated with a simpler, lower-resolution clustering? This is important not only for transparency but also for situating the identified risk state within the broader landscape of microglial heterogeneity.</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 xml:space="preserve">5. The reasoning underlying the bulk dataset analyses requires clearer presentation. </w:t>
      </w:r>
      <w:r>
        <w:rPr>
          <w:rFonts w:ascii="Merriweather Sans" w:hAnsi="Merriweather Sans"/>
          <w:color w:val="222222"/>
          <w:spacing w:val="2"/>
          <w:sz w:val="21"/>
          <w:szCs w:val="21"/>
          <w:shd w:val="clear" w:color="auto" w:fill="EBF1F5"/>
        </w:rPr>
        <w:lastRenderedPageBreak/>
        <w:t>Specifically, the biological interpretation of the significant negative correlation between SPP1 and DLG4 expression observed in both the ASD and control bulk RNA-seq datasets is not explained. The authors should discuss what this correlation implies in the context of synaptic pruning, and address whether this relationship would be expected across all brain transcriptomic datasets or whether it represents a specific feature of the ASD condition or the cortical regions examined.</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6. The reanalysis of the plasma metabolomics dataset, focused on PGE2 and related eicosanoids, does not establish a direct mechanistic link to the SPP1+ microglial state identified in cortical tissue. The claim that this state “is functionally active in generating systemic lipid mediators” exceeds the level of evidence provided and must be moderated. The authors should reframe this as a hypothesis to be tested in future work, and should clearly acknowledge in the Discussion that the plasma metabolomic findings represent a correlative, cross-compartment observation that requires direct experimental validation before causal inference is warranted.</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7. The description in the Results section of transcription factor activity and enzyme expression governing the eicosanoid cascade does not appear to be fully consistent with what is shown in Figure 5. The authors should carefully re-examine this section and ensure that all textual claims are directly and unambiguously supported by the corresponding figure panels. Any discrepancies between the text and figures must be resolved.</w:t>
      </w:r>
      <w:r>
        <w:rPr>
          <w:rFonts w:ascii="Merriweather Sans" w:hAnsi="Merriweather Sans"/>
          <w:color w:val="222222"/>
          <w:spacing w:val="2"/>
          <w:sz w:val="21"/>
          <w:szCs w:val="21"/>
        </w:rPr>
        <w:br/>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Minor Comments</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 xml:space="preserve">1. Cluster 2 identified in this reanalysis appears to overlap substantially with the “reactive microglia” population described by Wamsley et al. (2024, PMID: 38781372) in Figure 1F of their original publication, which was also significantly enriched in ASD cortex. This comparison should be addressed explicitly, either in the Introduction to motivate the microglial </w:t>
      </w:r>
      <w:proofErr w:type="spellStart"/>
      <w:r>
        <w:rPr>
          <w:rFonts w:ascii="Merriweather Sans" w:hAnsi="Merriweather Sans"/>
          <w:color w:val="222222"/>
          <w:spacing w:val="2"/>
          <w:sz w:val="21"/>
          <w:szCs w:val="21"/>
          <w:shd w:val="clear" w:color="auto" w:fill="EBF1F5"/>
        </w:rPr>
        <w:t>subclustering</w:t>
      </w:r>
      <w:proofErr w:type="spellEnd"/>
      <w:r>
        <w:rPr>
          <w:rFonts w:ascii="Merriweather Sans" w:hAnsi="Merriweather Sans"/>
          <w:color w:val="222222"/>
          <w:spacing w:val="2"/>
          <w:sz w:val="21"/>
          <w:szCs w:val="21"/>
          <w:shd w:val="clear" w:color="auto" w:fill="EBF1F5"/>
        </w:rPr>
        <w:t xml:space="preserve"> approach, or in the Discussion to contextualize the novel contribution of the present study relative to previously published observations.</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2. The presentation of the cross-platform validation is misleading. Both the primary dataset (Wamsley et al.) and the validation dataset (</w:t>
      </w:r>
      <w:proofErr w:type="spellStart"/>
      <w:r>
        <w:rPr>
          <w:rFonts w:ascii="Merriweather Sans" w:hAnsi="Merriweather Sans"/>
          <w:color w:val="222222"/>
          <w:spacing w:val="2"/>
          <w:sz w:val="21"/>
          <w:szCs w:val="21"/>
          <w:shd w:val="clear" w:color="auto" w:fill="EBF1F5"/>
        </w:rPr>
        <w:t>Velmeshev</w:t>
      </w:r>
      <w:proofErr w:type="spellEnd"/>
      <w:r>
        <w:rPr>
          <w:rFonts w:ascii="Merriweather Sans" w:hAnsi="Merriweather Sans"/>
          <w:color w:val="222222"/>
          <w:spacing w:val="2"/>
          <w:sz w:val="21"/>
          <w:szCs w:val="21"/>
          <w:shd w:val="clear" w:color="auto" w:fill="EBF1F5"/>
        </w:rPr>
        <w:t xml:space="preserve"> et al., 2019, PMID: 31097668) employed single-nucleus RNA sequencing (snRNA-seq) of postmortem tissue; neither used whole-cell sequencing. The text should be corrected accordingly.</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 xml:space="preserve">3. It is unclear from the Results section whether the </w:t>
      </w:r>
      <w:proofErr w:type="spellStart"/>
      <w:r>
        <w:rPr>
          <w:rFonts w:ascii="Merriweather Sans" w:hAnsi="Merriweather Sans"/>
          <w:color w:val="222222"/>
          <w:spacing w:val="2"/>
          <w:sz w:val="21"/>
          <w:szCs w:val="21"/>
          <w:shd w:val="clear" w:color="auto" w:fill="EBF1F5"/>
        </w:rPr>
        <w:t>CellChat</w:t>
      </w:r>
      <w:proofErr w:type="spellEnd"/>
      <w:r>
        <w:rPr>
          <w:rFonts w:ascii="Merriweather Sans" w:hAnsi="Merriweather Sans"/>
          <w:color w:val="222222"/>
          <w:spacing w:val="2"/>
          <w:sz w:val="21"/>
          <w:szCs w:val="21"/>
          <w:shd w:val="clear" w:color="auto" w:fill="EBF1F5"/>
        </w:rPr>
        <w:t xml:space="preserve"> ligand–receptor inference analysis was performed on the PSYCHENCODE snRNA-seq dataset only, or on both datasets. This should be stated explicitly. Additionally, the rationale for the prioritization of synapse elimination–relevant pathways, which is currently </w:t>
      </w:r>
      <w:r>
        <w:rPr>
          <w:rFonts w:ascii="Merriweather Sans" w:hAnsi="Merriweather Sans"/>
          <w:color w:val="222222"/>
          <w:spacing w:val="2"/>
          <w:sz w:val="21"/>
          <w:szCs w:val="21"/>
          <w:shd w:val="clear" w:color="auto" w:fill="EBF1F5"/>
        </w:rPr>
        <w:lastRenderedPageBreak/>
        <w:t>described only in the Methods, should be briefly reiterated in the Results section for clarity.</w:t>
      </w:r>
      <w:r>
        <w:rPr>
          <w:rFonts w:ascii="Merriweather Sans" w:hAnsi="Merriweather Sans"/>
          <w:color w:val="222222"/>
          <w:spacing w:val="2"/>
          <w:sz w:val="21"/>
          <w:szCs w:val="21"/>
        </w:rPr>
        <w:br/>
      </w:r>
      <w:r>
        <w:rPr>
          <w:rFonts w:ascii="Merriweather Sans" w:hAnsi="Merriweather Sans"/>
          <w:color w:val="222222"/>
          <w:spacing w:val="2"/>
          <w:sz w:val="21"/>
          <w:szCs w:val="21"/>
          <w:shd w:val="clear" w:color="auto" w:fill="EBF1F5"/>
        </w:rPr>
        <w:t>4. When discussing the translational relevance of eicosanoid pathway modulation, the authors should provide references, or identifier of trials on COX-2 inhibitors and leukotriene antagonists in ASD, if available, to substantiate these claims.</w:t>
      </w:r>
    </w:p>
    <w:sectPr w:rsidR="007E3D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Merriweather Sans">
    <w:panose1 w:val="00000000000000000000"/>
    <w:charset w:val="00"/>
    <w:family w:val="auto"/>
    <w:pitch w:val="variable"/>
    <w:sig w:usb0="A00004FF" w:usb1="40002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11138"/>
    <w:multiLevelType w:val="hybridMultilevel"/>
    <w:tmpl w:val="B4849E64"/>
    <w:lvl w:ilvl="0" w:tplc="D58ABA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F43DD2"/>
    <w:multiLevelType w:val="hybridMultilevel"/>
    <w:tmpl w:val="800CC6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A90D1B"/>
    <w:multiLevelType w:val="hybridMultilevel"/>
    <w:tmpl w:val="80E078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082312">
    <w:abstractNumId w:val="2"/>
  </w:num>
  <w:num w:numId="2" w16cid:durableId="1433893981">
    <w:abstractNumId w:val="1"/>
  </w:num>
  <w:num w:numId="3" w16cid:durableId="23555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D1A"/>
    <w:rsid w:val="000125AA"/>
    <w:rsid w:val="00052990"/>
    <w:rsid w:val="0006057F"/>
    <w:rsid w:val="000F0848"/>
    <w:rsid w:val="00105C0A"/>
    <w:rsid w:val="00124696"/>
    <w:rsid w:val="001577B5"/>
    <w:rsid w:val="001709A7"/>
    <w:rsid w:val="001A6C93"/>
    <w:rsid w:val="001B258C"/>
    <w:rsid w:val="001B65A7"/>
    <w:rsid w:val="001E7671"/>
    <w:rsid w:val="00233344"/>
    <w:rsid w:val="002C1483"/>
    <w:rsid w:val="00317F46"/>
    <w:rsid w:val="00347E88"/>
    <w:rsid w:val="00410A35"/>
    <w:rsid w:val="004E447F"/>
    <w:rsid w:val="00501246"/>
    <w:rsid w:val="005325D1"/>
    <w:rsid w:val="00544F37"/>
    <w:rsid w:val="005760E5"/>
    <w:rsid w:val="006659AD"/>
    <w:rsid w:val="00685935"/>
    <w:rsid w:val="00755D2D"/>
    <w:rsid w:val="007560A8"/>
    <w:rsid w:val="007A5702"/>
    <w:rsid w:val="007E3D1A"/>
    <w:rsid w:val="00813B65"/>
    <w:rsid w:val="00847F4F"/>
    <w:rsid w:val="008B1CD1"/>
    <w:rsid w:val="009642B5"/>
    <w:rsid w:val="00986BF8"/>
    <w:rsid w:val="00A91F0A"/>
    <w:rsid w:val="00AF2F3E"/>
    <w:rsid w:val="00B12368"/>
    <w:rsid w:val="00B2275C"/>
    <w:rsid w:val="00B524F4"/>
    <w:rsid w:val="00BB1BB4"/>
    <w:rsid w:val="00BB3E5F"/>
    <w:rsid w:val="00BD37F0"/>
    <w:rsid w:val="00BE0454"/>
    <w:rsid w:val="00C33CD2"/>
    <w:rsid w:val="00C5445F"/>
    <w:rsid w:val="00D262E7"/>
    <w:rsid w:val="00D50031"/>
    <w:rsid w:val="00E06F9B"/>
    <w:rsid w:val="00E626D0"/>
    <w:rsid w:val="00E87AB4"/>
    <w:rsid w:val="00EB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7735"/>
  <w15:chartTrackingRefBased/>
  <w15:docId w15:val="{7A35BBCD-92CD-A542-ACB4-9C63ED962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3D1A"/>
    <w:rPr>
      <w:sz w:val="24"/>
      <w:lang w:eastAsia="en-US"/>
    </w:rPr>
  </w:style>
  <w:style w:type="paragraph" w:styleId="1">
    <w:name w:val="heading 1"/>
    <w:basedOn w:val="a"/>
    <w:next w:val="a"/>
    <w:link w:val="10"/>
    <w:uiPriority w:val="9"/>
    <w:qFormat/>
    <w:rsid w:val="007E3D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3D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3D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3D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3D1A"/>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7E3D1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3D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3D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3D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3D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E3D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E3D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3D1A"/>
    <w:rPr>
      <w:rFonts w:cstheme="majorBidi"/>
      <w:color w:val="0F4761" w:themeColor="accent1" w:themeShade="BF"/>
      <w:sz w:val="28"/>
      <w:szCs w:val="28"/>
    </w:rPr>
  </w:style>
  <w:style w:type="character" w:customStyle="1" w:styleId="50">
    <w:name w:val="标题 5 字符"/>
    <w:basedOn w:val="a0"/>
    <w:link w:val="5"/>
    <w:uiPriority w:val="9"/>
    <w:semiHidden/>
    <w:rsid w:val="007E3D1A"/>
    <w:rPr>
      <w:rFonts w:cstheme="majorBidi"/>
      <w:color w:val="0F4761" w:themeColor="accent1" w:themeShade="BF"/>
      <w:sz w:val="24"/>
    </w:rPr>
  </w:style>
  <w:style w:type="character" w:customStyle="1" w:styleId="60">
    <w:name w:val="标题 6 字符"/>
    <w:basedOn w:val="a0"/>
    <w:link w:val="6"/>
    <w:uiPriority w:val="9"/>
    <w:semiHidden/>
    <w:rsid w:val="007E3D1A"/>
    <w:rPr>
      <w:rFonts w:cstheme="majorBidi"/>
      <w:b/>
      <w:bCs/>
      <w:color w:val="0F4761" w:themeColor="accent1" w:themeShade="BF"/>
    </w:rPr>
  </w:style>
  <w:style w:type="character" w:customStyle="1" w:styleId="70">
    <w:name w:val="标题 7 字符"/>
    <w:basedOn w:val="a0"/>
    <w:link w:val="7"/>
    <w:uiPriority w:val="9"/>
    <w:semiHidden/>
    <w:rsid w:val="007E3D1A"/>
    <w:rPr>
      <w:rFonts w:cstheme="majorBidi"/>
      <w:b/>
      <w:bCs/>
      <w:color w:val="595959" w:themeColor="text1" w:themeTint="A6"/>
    </w:rPr>
  </w:style>
  <w:style w:type="character" w:customStyle="1" w:styleId="80">
    <w:name w:val="标题 8 字符"/>
    <w:basedOn w:val="a0"/>
    <w:link w:val="8"/>
    <w:uiPriority w:val="9"/>
    <w:semiHidden/>
    <w:rsid w:val="007E3D1A"/>
    <w:rPr>
      <w:rFonts w:cstheme="majorBidi"/>
      <w:color w:val="595959" w:themeColor="text1" w:themeTint="A6"/>
    </w:rPr>
  </w:style>
  <w:style w:type="character" w:customStyle="1" w:styleId="90">
    <w:name w:val="标题 9 字符"/>
    <w:basedOn w:val="a0"/>
    <w:link w:val="9"/>
    <w:uiPriority w:val="9"/>
    <w:semiHidden/>
    <w:rsid w:val="007E3D1A"/>
    <w:rPr>
      <w:rFonts w:eastAsiaTheme="majorEastAsia" w:cstheme="majorBidi"/>
      <w:color w:val="595959" w:themeColor="text1" w:themeTint="A6"/>
    </w:rPr>
  </w:style>
  <w:style w:type="paragraph" w:styleId="a3">
    <w:name w:val="Title"/>
    <w:basedOn w:val="a"/>
    <w:next w:val="a"/>
    <w:link w:val="a4"/>
    <w:uiPriority w:val="10"/>
    <w:qFormat/>
    <w:rsid w:val="007E3D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3D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3D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3D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3D1A"/>
    <w:pPr>
      <w:spacing w:before="160"/>
      <w:jc w:val="center"/>
    </w:pPr>
    <w:rPr>
      <w:i/>
      <w:iCs/>
      <w:color w:val="404040" w:themeColor="text1" w:themeTint="BF"/>
    </w:rPr>
  </w:style>
  <w:style w:type="character" w:customStyle="1" w:styleId="a8">
    <w:name w:val="引用 字符"/>
    <w:basedOn w:val="a0"/>
    <w:link w:val="a7"/>
    <w:uiPriority w:val="29"/>
    <w:rsid w:val="007E3D1A"/>
    <w:rPr>
      <w:i/>
      <w:iCs/>
      <w:color w:val="404040" w:themeColor="text1" w:themeTint="BF"/>
    </w:rPr>
  </w:style>
  <w:style w:type="paragraph" w:styleId="a9">
    <w:name w:val="List Paragraph"/>
    <w:basedOn w:val="a"/>
    <w:uiPriority w:val="34"/>
    <w:qFormat/>
    <w:rsid w:val="007E3D1A"/>
    <w:pPr>
      <w:ind w:left="720"/>
      <w:contextualSpacing/>
    </w:pPr>
  </w:style>
  <w:style w:type="character" w:styleId="aa">
    <w:name w:val="Intense Emphasis"/>
    <w:basedOn w:val="a0"/>
    <w:uiPriority w:val="21"/>
    <w:qFormat/>
    <w:rsid w:val="007E3D1A"/>
    <w:rPr>
      <w:i/>
      <w:iCs/>
      <w:color w:val="0F4761" w:themeColor="accent1" w:themeShade="BF"/>
    </w:rPr>
  </w:style>
  <w:style w:type="paragraph" w:styleId="ab">
    <w:name w:val="Intense Quote"/>
    <w:basedOn w:val="a"/>
    <w:next w:val="a"/>
    <w:link w:val="ac"/>
    <w:uiPriority w:val="30"/>
    <w:qFormat/>
    <w:rsid w:val="007E3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3D1A"/>
    <w:rPr>
      <w:i/>
      <w:iCs/>
      <w:color w:val="0F4761" w:themeColor="accent1" w:themeShade="BF"/>
    </w:rPr>
  </w:style>
  <w:style w:type="character" w:styleId="ad">
    <w:name w:val="Intense Reference"/>
    <w:basedOn w:val="a0"/>
    <w:uiPriority w:val="32"/>
    <w:qFormat/>
    <w:rsid w:val="007E3D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3143</Words>
  <Characters>17919</Characters>
  <Application>Microsoft Office Word</Application>
  <DocSecurity>0</DocSecurity>
  <Lines>149</Lines>
  <Paragraphs>42</Paragraphs>
  <ScaleCrop>false</ScaleCrop>
  <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Aojie</dc:creator>
  <cp:keywords/>
  <dc:description/>
  <cp:lastModifiedBy>Aojie</cp:lastModifiedBy>
  <cp:revision>2</cp:revision>
  <dcterms:created xsi:type="dcterms:W3CDTF">2026-03-15T12:14:00Z</dcterms:created>
  <dcterms:modified xsi:type="dcterms:W3CDTF">2026-03-15T12:18:00Z</dcterms:modified>
</cp:coreProperties>
</file>