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Display" w:hAnsi="Aptos Display"/>
          <w:b/>
          <w:color w:val="224067"/>
          <w:sz w:val="36"/>
        </w:rPr>
        <w:t>Point-by-Point Response to the Editor and Reviewers</w:t>
      </w:r>
    </w:p>
    <w:p>
      <w:pPr>
        <w:spacing w:after="60"/>
        <w:jc w:val="center"/>
      </w:pPr>
      <w:r>
        <w:t>Manuscript title: Broad cortical microglial remodeling in autism spectrum disorder converges on a reproducible but non-discrete candidate/reference axis</w:t>
      </w:r>
    </w:p>
    <w:p>
      <w:pPr>
        <w:spacing w:after="60"/>
        <w:jc w:val="center"/>
      </w:pPr>
      <w:r>
        <w:t>Submission ID: 9b161d9d-f2ba-4341-bd05-aa548000b326</w:t>
      </w:r>
    </w:p>
    <w:p>
      <w:pPr>
        <w:spacing w:after="60"/>
        <w:jc w:val="center"/>
      </w:pPr>
      <w:r>
        <w:t>Journal: Molecular Autism</w:t>
      </w:r>
    </w:p>
    <w:p>
      <w:pPr>
        <w:spacing w:before="280" w:after="160"/>
        <w:jc w:val="left"/>
      </w:pPr>
      <w:r>
        <w:t>We thank the Editor and the Reviewers for their careful evaluation of our manuscript and for their constructive comments. We have revised the manuscript extensively in response to all points raised. In particular, we have substantially moderated the central narrative, restructured the Results and Discussion, strengthened donor-aware and cross-cohort analyses, clarified methodological details, improved figure and supplementary presentation, and revised text that previously overstated mechanistic interpretation. Below we provide a detailed point-by-point response. Comments are reproduced in full or in carefully segmented form where a single original paragraph contained multiple distinct requests; in each case, the original meaning has been preserved.</w:t>
      </w:r>
    </w:p>
    <w:p>
      <w:r/>
    </w:p>
    <w:p>
      <w:pPr>
        <w:pStyle w:val="Heading1"/>
      </w:pPr>
      <w:r>
        <w:t>Response to the Editor</w:t>
      </w:r>
    </w:p>
    <w:p>
      <w:r>
        <w:t>We thank the Editor for the careful assessment and for the detailed formatting, presentation, and style corrections. We have revised the manuscript extensively in response to these comments. In addition to addressing the scientific issues raised by the reviewers, we corrected the manuscript title and capitalization, standardized in-text citation formatting, alphabetized the abbreviation list, reformatted the references to match journal style, and reformatted the supplementary figure pages so that figure titles and legends appear below the corresponding figures.</w:t>
      </w:r>
    </w:p>
    <w:p>
      <w:pPr>
        <w:pStyle w:val="Heading3"/>
        <w:spacing w:before="160" w:after="80"/>
      </w:pPr>
      <w:r>
        <w:rPr>
          <w:b/>
        </w:rPr>
        <w:t>Comment E1</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The title is grammatically incorrect and should be corrected. In addition, note that you should not use capitals to write 'autism spectrum disorder'.</w:t>
            </w:r>
          </w:p>
        </w:tc>
      </w:tr>
    </w:tbl>
    <w:p>
      <w:pPr>
        <w:spacing w:before="80" w:after="40"/>
      </w:pPr>
      <w:r>
        <w:rPr>
          <w:b/>
        </w:rPr>
        <w:t xml:space="preserve">Response: </w:t>
      </w:r>
      <w:r>
        <w:t>We agree and have revised the manuscript title accordingly. The title has been rewritten in a grammatically correct and more restrained form, and “autism spectrum disorder” is now written in lower case in the title and throughout the manuscript where appropriate. This change also aligns the title more closely with the revised scientific framing of the manuscript.</w:t>
      </w:r>
    </w:p>
    <w:p>
      <w:pPr>
        <w:spacing w:before="0" w:after="120"/>
      </w:pPr>
      <w:r>
        <w:rPr>
          <w:b/>
        </w:rPr>
        <w:t xml:space="preserve">Location in revised manuscript: </w:t>
      </w:r>
      <w:r>
        <w:t>Title page; manuscript title.</w:t>
      </w:r>
    </w:p>
    <w:p>
      <w:pPr>
        <w:pStyle w:val="Heading3"/>
        <w:spacing w:before="160" w:after="80"/>
      </w:pPr>
      <w:r>
        <w:rPr>
          <w:b/>
        </w:rPr>
        <w:t>Comment E2</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Title page: Please add ORCIDs when available.</w:t>
            </w:r>
          </w:p>
        </w:tc>
      </w:tr>
    </w:tbl>
    <w:p>
      <w:pPr>
        <w:spacing w:before="80" w:after="40"/>
      </w:pPr>
      <w:r>
        <w:rPr>
          <w:b/>
        </w:rPr>
        <w:t xml:space="preserve">Response: </w:t>
      </w:r>
      <w:r>
        <w:t>We agree. ORCID information has been added to the title page where available.</w:t>
      </w:r>
    </w:p>
    <w:p>
      <w:pPr>
        <w:spacing w:before="0" w:after="120"/>
      </w:pPr>
      <w:r>
        <w:rPr>
          <w:b/>
        </w:rPr>
        <w:t xml:space="preserve">Location in revised manuscript: </w:t>
      </w:r>
      <w:r>
        <w:t>Title page.</w:t>
      </w:r>
    </w:p>
    <w:p>
      <w:pPr>
        <w:pStyle w:val="Heading3"/>
        <w:spacing w:before="160" w:after="80"/>
      </w:pPr>
      <w:r>
        <w:rPr>
          <w:b/>
        </w:rPr>
        <w:t>Comment E3</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Background, first line: don't use capitals to write 'autism spectrum disorder'.</w:t>
            </w:r>
          </w:p>
        </w:tc>
      </w:tr>
    </w:tbl>
    <w:p>
      <w:pPr>
        <w:spacing w:before="80" w:after="40"/>
      </w:pPr>
      <w:r>
        <w:rPr>
          <w:b/>
        </w:rPr>
        <w:t xml:space="preserve">Response: </w:t>
      </w:r>
      <w:r>
        <w:t>We agree and have corrected this usage. “autism spectrum disorder” is now written in lower case in the opening line of the Background section and elsewhere in the manuscript where appropriate.</w:t>
      </w:r>
    </w:p>
    <w:p>
      <w:pPr>
        <w:spacing w:before="0" w:after="120"/>
      </w:pPr>
      <w:r>
        <w:rPr>
          <w:b/>
        </w:rPr>
        <w:t xml:space="preserve">Location in revised manuscript: </w:t>
      </w:r>
      <w:r>
        <w:t>Background, first sentence.</w:t>
      </w:r>
    </w:p>
    <w:p>
      <w:pPr>
        <w:pStyle w:val="Heading3"/>
        <w:spacing w:before="160" w:after="80"/>
      </w:pPr>
      <w:r>
        <w:rPr>
          <w:b/>
        </w:rPr>
        <w:t>Comment E4</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The references in the text, in square brackets, should be separated from the previous word by a space. In addition, when citing two or more references together, they should be included in the same set of brackets (eg, "[15] [16]" should be "[15, 16]"). These rules apply to all journals.</w:t>
            </w:r>
          </w:p>
        </w:tc>
      </w:tr>
    </w:tbl>
    <w:p>
      <w:pPr>
        <w:spacing w:before="80" w:after="40"/>
      </w:pPr>
      <w:r>
        <w:rPr>
          <w:b/>
        </w:rPr>
        <w:t xml:space="preserve">Response: </w:t>
      </w:r>
      <w:r>
        <w:t>We agree and have corrected the in-text citation formatting throughout the manuscript. Specifically, we inserted a space before bracketed references where needed and consolidated adjacent citations into a single bracketed set in the journal-preferred format.</w:t>
      </w:r>
    </w:p>
    <w:p>
      <w:pPr>
        <w:spacing w:before="0" w:after="120"/>
      </w:pPr>
      <w:r>
        <w:rPr>
          <w:b/>
        </w:rPr>
        <w:t xml:space="preserve">Location in revised manuscript: </w:t>
      </w:r>
      <w:r>
        <w:t>Throughout the manuscript.</w:t>
      </w:r>
    </w:p>
    <w:p>
      <w:pPr>
        <w:pStyle w:val="Heading3"/>
        <w:spacing w:before="160" w:after="80"/>
      </w:pPr>
      <w:r>
        <w:rPr>
          <w:b/>
        </w:rPr>
        <w:t>Comment E5</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The abbreviations should be sorted alphabetically.</w:t>
            </w:r>
          </w:p>
        </w:tc>
      </w:tr>
    </w:tbl>
    <w:p>
      <w:pPr>
        <w:spacing w:before="80" w:after="40"/>
      </w:pPr>
      <w:r>
        <w:rPr>
          <w:b/>
        </w:rPr>
        <w:t xml:space="preserve">Response: </w:t>
      </w:r>
      <w:r>
        <w:t>We agree and have alphabetized the abbreviation list in the revised manuscript.</w:t>
      </w:r>
    </w:p>
    <w:p>
      <w:pPr>
        <w:spacing w:before="0" w:after="120"/>
      </w:pPr>
      <w:r>
        <w:rPr>
          <w:b/>
        </w:rPr>
        <w:t xml:space="preserve">Location in revised manuscript: </w:t>
      </w:r>
      <w:r>
        <w:t>List of abbreviations.</w:t>
      </w:r>
    </w:p>
    <w:p>
      <w:pPr>
        <w:pStyle w:val="Heading3"/>
        <w:spacing w:before="160" w:after="80"/>
      </w:pPr>
      <w:r>
        <w:rPr>
          <w:b/>
        </w:rPr>
        <w:t>Comment E6</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Please reformat the references according to the journal’s guidelines: https://link.springer.com/journal/13229/submission-guidelines/research. Check the examples given at the bottom of the page and ensure that the format of the references in your paper matches this style. I had already asked you to change this and you didn't do it. This change is not optional. Articles within a journal should be cited like this: Smith JJ. The world of science. Am J Sci. 1999;36:234-5.</w:t>
            </w:r>
          </w:p>
        </w:tc>
      </w:tr>
    </w:tbl>
    <w:p>
      <w:pPr>
        <w:spacing w:before="80" w:after="40"/>
      </w:pPr>
      <w:r>
        <w:rPr>
          <w:b/>
        </w:rPr>
        <w:t xml:space="preserve">Response: </w:t>
      </w:r>
      <w:r>
        <w:t>We agree and have reformatted the reference list to conform to the journal’s style requirements. We also standardized the in-text citation style to match the revised bibliography formatting and checked the reference list against the journal examples.</w:t>
      </w:r>
    </w:p>
    <w:p>
      <w:pPr>
        <w:spacing w:before="0" w:after="120"/>
      </w:pPr>
      <w:r>
        <w:rPr>
          <w:b/>
        </w:rPr>
        <w:t xml:space="preserve">Location in revised manuscript: </w:t>
      </w:r>
      <w:r>
        <w:t>Reference list; in-text citations throughout.</w:t>
      </w:r>
    </w:p>
    <w:p>
      <w:pPr>
        <w:pStyle w:val="Heading3"/>
        <w:spacing w:before="160" w:after="80"/>
      </w:pPr>
      <w:r>
        <w:rPr>
          <w:b/>
        </w:rPr>
        <w:t>Comment E7</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In supplementary file 1 with the supplementary figures, the figure title and the legend should be both placed below the figure, as they would in a journal article.</w:t>
            </w:r>
          </w:p>
        </w:tc>
      </w:tr>
    </w:tbl>
    <w:p>
      <w:pPr>
        <w:spacing w:before="80" w:after="40"/>
      </w:pPr>
      <w:r>
        <w:rPr>
          <w:b/>
        </w:rPr>
        <w:t xml:space="preserve">Response: </w:t>
      </w:r>
      <w:r>
        <w:t>We agree and have reformatted Supplementary File 1 so that each supplementary figure title and its corresponding legend are placed below the figure. This formatting has been applied consistently across the supplementary figures.</w:t>
      </w:r>
    </w:p>
    <w:p>
      <w:pPr>
        <w:spacing w:before="0" w:after="120"/>
      </w:pPr>
      <w:r>
        <w:rPr>
          <w:b/>
        </w:rPr>
        <w:t xml:space="preserve">Location in revised manuscript: </w:t>
      </w:r>
      <w:r>
        <w:t>Supplementary File 1 (Supplementary Figures).</w:t>
      </w:r>
    </w:p>
    <w:p>
      <w:pPr>
        <w:pStyle w:val="Heading1"/>
      </w:pPr>
      <w:r>
        <w:t>Response to Reviewer 1</w:t>
      </w:r>
    </w:p>
    <w:p>
      <w:r>
        <w:t>We thank Reviewer 1 for the careful, biologically grounded, and highly constructive critique. We agree that the earlier version of the manuscript overemphasized cluster 2/SPP1+ microglia as a uniquely discrete ASD-defining state and did not adequately explain why this cluster was prioritized over the broader discovery-stage cluster landscape. In response, we substantially revised the manuscript’s central narrative, figure system, and downstream interpretation. The revised manuscript no longer presents cluster 2 as a sharply discrete disease-specific subtype, nor does it treat SPP1 as a unique state-defining anchor. Instead, the study is now framed around an explicit all-cluster audit that narrows the discovery-stage analysis space to a retained cortical microglial core, within which a non-discrete candidate/reference remodeling axis is detectable. We also restructured the validation analyses to prioritize donor-level inference, clarified that mapped-cluster replication is weak, and repositioned perturbation- and TF-based analyses as supplementary mechanistic context rather than primary evidence.</w:t>
      </w:r>
    </w:p>
    <w:p>
      <w:pPr>
        <w:pStyle w:val="Heading3"/>
        <w:spacing w:before="160" w:after="80"/>
      </w:pPr>
      <w:r>
        <w:rPr>
          <w:b/>
        </w:rPr>
        <w:t>Comment R1-1</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Overall summary and comments: The main claims of the manuscript are that: ASD has a reproducible SPP1+ microglial state that is characterized by lipid-metabolic remodeling and heightened phagocytosis machinery. This state is a specific signature as opposed to a general inflammatory signature. The analyses, especially the cross-functional analyses, presented have clues to interesting biology. However, there need to be revisions to the presentation and interpretation of the data to make these claims more compelling. The specificity of SPP1+ microglia cluster and functional relevance can be improved as well as the rationale of focusing on cluster 2.</w:t>
            </w:r>
          </w:p>
        </w:tc>
      </w:tr>
    </w:tbl>
    <w:p>
      <w:pPr>
        <w:spacing w:before="80" w:after="40"/>
      </w:pPr>
      <w:r>
        <w:rPr>
          <w:b/>
        </w:rPr>
        <w:t xml:space="preserve">Response: </w:t>
      </w:r>
      <w:r>
        <w:t>We agree with this overall assessment. The revised manuscript substantially moderates the earlier SPP1+/cluster-2-centered narrative and no longer claims a sharply discrete disease-specific subtype. Instead, we now frame the principal finding as broad ASD-associated cortical microglial remodeling within a retained cortical microglial core, with a reproducible but non-discrete candidate/reference axis. This revised framework was adopted specifically to improve the biological precision and evidentiary discipline of the paper.</w:t>
      </w:r>
    </w:p>
    <w:p>
      <w:pPr>
        <w:spacing w:before="0" w:after="120"/>
      </w:pPr>
      <w:r>
        <w:rPr>
          <w:b/>
        </w:rPr>
        <w:t xml:space="preserve">Location in revised manuscript: </w:t>
      </w:r>
      <w:r>
        <w:t>Abstract; Results; Discussion.</w:t>
      </w:r>
    </w:p>
    <w:p>
      <w:pPr>
        <w:pStyle w:val="Heading3"/>
        <w:spacing w:before="160" w:after="80"/>
      </w:pPr>
      <w:r>
        <w:rPr>
          <w:b/>
        </w:rPr>
        <w:t>Comment R1-2</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Definition of SPP1+ microglia state in ASD: key to your paper is defining microglial cluster 2 as the key microglia state contributing to ASD and with a specific signature of phagocytosis. The data currently presented do not convey why cluster 2 was chosen as uniquely interesting and contributing to ASD. One way to address this is to generally provide more information about the other clusters including defining genes and proportions in control vs ASD. Specific details about additional analyses and explanations that would strengthen the case for the uniqueness of cluster 2 are listed below.</w:t>
            </w:r>
          </w:p>
        </w:tc>
      </w:tr>
    </w:tbl>
    <w:p>
      <w:pPr>
        <w:spacing w:before="80" w:after="40"/>
      </w:pPr>
      <w:r>
        <w:rPr>
          <w:b/>
        </w:rPr>
        <w:t xml:space="preserve">Response: </w:t>
      </w:r>
      <w:r>
        <w:t>We agree that the earlier version did not provide sufficient all-cluster context and overinterpreted cluster 2 as a uniquely self-evident disease-defining state. In response, we restructured the discovery-stage analysis around an explicit all-cluster audit rather than an a priori focus on cluster 2. The revised Figure 1 now functions as an audit-driven retained-core definition figure, and Supplementary Figure S2 provides all-cluster contextualization, including donor-level proportions across all discovery clusters, audit superclass assignments, and lineage total scores used to contextualize retention and exclusion decisions. This revision was intended to show that cluster 2 was not retained simply because it was visually isolated or uniquely enriched by default, but because the full discovery-stage microglial landscape was explicitly reviewed and narrowed to a retained cortical microglial core that remained most lineage-coherent and donor-supported after audit. Within that retained core, cluster 2 was carried forward only as the candidate side of the retained-core contrast, with cluster 0 serving as the reference-like comparator within the same compartment.</w:t>
      </w:r>
    </w:p>
    <w:p>
      <w:pPr>
        <w:spacing w:before="0" w:after="120"/>
      </w:pPr>
      <w:r>
        <w:rPr>
          <w:b/>
        </w:rPr>
        <w:t xml:space="preserve">Location in revised manuscript: </w:t>
      </w:r>
      <w:r>
        <w:t>Figure 1; Supplementary Figure S2; Discussion subsection on non-retained discovery clusters.</w:t>
      </w:r>
    </w:p>
    <w:p>
      <w:pPr>
        <w:pStyle w:val="Heading3"/>
        <w:spacing w:before="160" w:after="80"/>
      </w:pPr>
      <w:r>
        <w:rPr>
          <w:b/>
        </w:rPr>
        <w:t>Comment R1-3</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To get to the identification of cluster 2/SPP1+ microglia cluster, you first show a UMAP in Figure1B. Can you display this UMAP with a unique color for each cluster? It is not possible to delineate the closely neighboring clusters like 0, 2, 6, and 7 given the current visualization. Further, you say that a majority of cells are in homeostatic clusters 0 and 1. Can you show that these clusters are marked by high expression of homeostatic markers? I do not see such evidence here or in the supplemental figures or tables. I have not seen two clusters representing homeostatic microglia in other single cell/nuc microglia datasets. Typically, there is only one homeostatic cluster that represents the majority of microglia cells. Can you also perform cluster marker analysis for each cluster and show the top genes differentiating each cluster? It is not clear to me why you identified cluster 2 as an interesting cluster to pursue considering there are 14 other very distinct clusters.</w:t>
            </w:r>
          </w:p>
        </w:tc>
      </w:tr>
    </w:tbl>
    <w:p>
      <w:pPr>
        <w:spacing w:before="80" w:after="40"/>
      </w:pPr>
      <w:r>
        <w:rPr>
          <w:b/>
        </w:rPr>
        <w:t xml:space="preserve">Response: </w:t>
      </w:r>
      <w:r>
        <w:t>We agree. In the revised manuscript, the discovery-stage all-cluster context was expanded and reframed through an audit-first approach. The revised Figure 1 now presents the discovery object with explicit all-cluster review, and Supplementary Figure S2 provides supporting descriptive context for donor-level all-cluster distributions, audit superclass assignments, and lineage-based contextualization. We also resolved the earlier unstable “homeostatic cluster” framing by treating cluster 0 consistently as the reference-like retained-core comparator rather than continuing to rely on a broader and potentially confusing homeostatic-cluster label. More generally, the manuscript no longer presents cluster 2 as interesting by default because of a few highlighted genes; rather, it is interpreted only in relation to the retained-core contrast that emerged after explicit all-cluster auditing.</w:t>
      </w:r>
    </w:p>
    <w:p>
      <w:pPr>
        <w:spacing w:before="0" w:after="120"/>
      </w:pPr>
      <w:r>
        <w:rPr>
          <w:b/>
        </w:rPr>
        <w:t xml:space="preserve">Location in revised manuscript: </w:t>
      </w:r>
      <w:r>
        <w:t>Figure 1; Supplementary Figure S2; Methods and Discussion retained-core framework.</w:t>
      </w:r>
    </w:p>
    <w:p>
      <w:pPr>
        <w:pStyle w:val="Heading3"/>
        <w:spacing w:before="160" w:after="80"/>
      </w:pPr>
      <w:r>
        <w:rPr>
          <w:b/>
        </w:rPr>
        <w:t>Comment R1-4</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Similarly, can you make the plot seen in Figure 1C for all the clusters? The plot nicely shows the biological spread of cluster 2 in control and ASD. It would be more convincing that cluster 2 is on special interest if it is the only cluster enriched in ASD. Along similar lines, it would be interesting to see which cluster is then depleted in ASD.</w:t>
            </w:r>
          </w:p>
        </w:tc>
      </w:tr>
    </w:tbl>
    <w:p>
      <w:pPr>
        <w:spacing w:before="80" w:after="40"/>
      </w:pPr>
      <w:r>
        <w:rPr>
          <w:b/>
        </w:rPr>
        <w:t xml:space="preserve">Response: </w:t>
      </w:r>
      <w:r>
        <w:t>We agree that broader donor-level cluster context was needed. In the revised manuscript, this concern is addressed through Supplementary Figure S2, which provides donor-level all-cluster context rather than continuing to isolate cluster 2 without comparison to the broader discovery-stage space. This revision supports a more conservative interpretation: the retained-core candidate/reference contrast is the principal inferential result, whereas the broader cluster landscape is provided as contextual background rather than as a claim that only one discovery-stage cluster carries all disease signal.</w:t>
      </w:r>
    </w:p>
    <w:p>
      <w:pPr>
        <w:spacing w:before="0" w:after="120"/>
      </w:pPr>
      <w:r>
        <w:rPr>
          <w:b/>
        </w:rPr>
        <w:t xml:space="preserve">Location in revised manuscript: </w:t>
      </w:r>
      <w:r>
        <w:t>Supplementary Figure S2; Figure 1; Results and Discussion.</w:t>
      </w:r>
    </w:p>
    <w:p>
      <w:pPr>
        <w:pStyle w:val="Heading3"/>
        <w:spacing w:before="160" w:after="80"/>
      </w:pPr>
      <w:r>
        <w:rPr>
          <w:b/>
        </w:rPr>
        <w:t>Comment R1-5</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You say “Cluster 2 was distinguished by the acquisition of specific activation markers, most notably SPP1 (Osteopontin), GAS6, APOE, CD74, and C3, while retaining core microglial signatures (Figure 1D; full marker list provided in Supplementary Table S1).” SPP1, GAS6, APOE, and CD74 are increased in cluster 2, but they are not the most enriched genes. C3 appears to not be in the supplemental table. How did you choose these genes as the key marker genes of cluster 2? It also appears in Figure 1D that these genes are not exclusively or the highest expressed in cluster 2. Spp1 is higher in cluster 11 and APOE in cluster 5 and 11 compared to cluster 2. The analysis in my point 1a will also help address my question about why you picked these genes as the defining markers.</w:t>
            </w:r>
          </w:p>
        </w:tc>
      </w:tr>
    </w:tbl>
    <w:p>
      <w:pPr>
        <w:spacing w:before="80" w:after="40"/>
      </w:pPr>
      <w:r>
        <w:rPr>
          <w:b/>
        </w:rPr>
        <w:t xml:space="preserve">Response: </w:t>
      </w:r>
      <w:r>
        <w:t>We agree. In the revised manuscript, we no longer present SPP1, GAS6, APOE, CD74, or C3 as uniquely defining markers of a sharply discrete cluster 2 state. Instead, we substantially moderated the interpretation of SPP1 and revised the text to state explicitly that SPP1 is better interpreted as part of a broader remodeling program rather than as the sole anchor of a disease-specific subtype. The revised Discussion now states that SPP1 remained biologically relevant in retained-core analyses, but was detectable across both retained clusters and therefore did not support the stronger claim that it uniquely defines the candidate state.</w:t>
      </w:r>
    </w:p>
    <w:p>
      <w:pPr>
        <w:spacing w:before="0" w:after="120"/>
      </w:pPr>
      <w:r>
        <w:rPr>
          <w:b/>
        </w:rPr>
        <w:t xml:space="preserve">Location in revised manuscript: </w:t>
      </w:r>
      <w:r>
        <w:t>Discussion subsection on SPP1 as a broader remodeling component; retained-core interpretation throughout Results and Discussion.</w:t>
      </w:r>
    </w:p>
    <w:p>
      <w:pPr>
        <w:pStyle w:val="Heading3"/>
        <w:spacing w:before="160" w:after="80"/>
      </w:pPr>
      <w:r>
        <w:rPr>
          <w:b/>
        </w:rPr>
        <w:t>Comment R1-6</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Here you claim that SPP1 is expressed by cluster 2 microglia. Previously published work (De Schepper 2023) shows Spp1 is produced my perivascular cells and induces microglial synaptic pruning. Can you show Spp1 expression in the larger UMAP with all cell types to add to your working model that microglial SPP1 is the relevant signal for ASD?</w:t>
            </w:r>
          </w:p>
        </w:tc>
      </w:tr>
    </w:tbl>
    <w:p>
      <w:pPr>
        <w:spacing w:before="80" w:after="40"/>
      </w:pPr>
      <w:r>
        <w:rPr>
          <w:b/>
        </w:rPr>
        <w:t xml:space="preserve">Response: </w:t>
      </w:r>
      <w:r>
        <w:t>We agree that the earlier version overstated the uniqueness of microglial SPP1. In the revised manuscript, we now explicitly acknowledge that SPP1 is not uniquely restricted to the candidate-side retained cluster and should not be used as the sole anchor of a disease-specific subtype. We revised the interpretation so that the biological relevance of SPP1 is discussed within the broader retained-core remodeling framework, rather than as proof of a uniquely microglial, cluster-2-specific signal.</w:t>
      </w:r>
    </w:p>
    <w:p>
      <w:pPr>
        <w:spacing w:before="0" w:after="120"/>
      </w:pPr>
      <w:r>
        <w:rPr>
          <w:b/>
        </w:rPr>
        <w:t xml:space="preserve">Location in revised manuscript: </w:t>
      </w:r>
      <w:r>
        <w:t>Discussion subsection on SPP1; retained-core interpretation sections.</w:t>
      </w:r>
    </w:p>
    <w:p>
      <w:pPr>
        <w:pStyle w:val="Heading3"/>
        <w:spacing w:before="160" w:after="80"/>
      </w:pPr>
      <w:r>
        <w:rPr>
          <w:b/>
        </w:rPr>
        <w:t>Comment R1-7</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You say that cluster 2 “may not represent generalized inflammation, but rather a functional specialization towards engulfment”. However, your gene-set enrichment analysis shows several terms for cell activation.</w:t>
            </w:r>
          </w:p>
        </w:tc>
      </w:tr>
    </w:tbl>
    <w:p>
      <w:pPr>
        <w:spacing w:before="80" w:after="40"/>
      </w:pPr>
      <w:r>
        <w:rPr>
          <w:b/>
        </w:rPr>
        <w:t xml:space="preserve">Response: </w:t>
      </w:r>
      <w:r>
        <w:t>We agree. The earlier wording was too strong and implied a level of functional specificity not warranted by the enrichment results. In the revised manuscript, we no longer interpret cluster 2 as a narrowly specialized engulfment-only state. Instead, the main interpretation is now that the most reproducible signal is broad cortical microglial remodeling within a retained core, with the candidate side reflecting a remodeling/activation-shifted state rather than a sharply discrete, uniquely specialized subtype.</w:t>
      </w:r>
    </w:p>
    <w:p>
      <w:pPr>
        <w:spacing w:before="0" w:after="120"/>
      </w:pPr>
      <w:r>
        <w:rPr>
          <w:b/>
        </w:rPr>
        <w:t xml:space="preserve">Location in revised manuscript: </w:t>
      </w:r>
      <w:r>
        <w:t>Discussion subsection on broad cortical microglial remodeling.</w:t>
      </w:r>
    </w:p>
    <w:p>
      <w:pPr>
        <w:pStyle w:val="Heading3"/>
        <w:spacing w:before="160" w:after="80"/>
      </w:pPr>
      <w:r>
        <w:rPr>
          <w:b/>
        </w:rPr>
        <w:t>Comment R1-8</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Microglia-neuron crosstalk: I appreciate the microglia-neuron crosstalk analysis since there is a lot of data showing neuron carry a large genetic and DEG burden in ASD. I did not understand how the data showed in the manuscript strongly support crosstalk. In supplemental Figure3, you show that the microglia states are not key hubs. What made you continue investigating their intercellular signaling axes? You state that “downstream pathway-level analyses highlighted enriched microglia–neuron interaction axes including SPP1–CD44 and GAS6–MERTK (Figure 3A)”. I do not see how the plot in Figure3A indicates SPP1-CD44 and GAS6-MERTK. How do you interpret the GAS6-MERTK axis for MG_Risk AST in the context of synaptic pruning? Can you reinforce this by looking at the astrocyte single cell sequencing data? Do you think the SPP1-CD44 and the GAS6-MERTK signals are independent of one another? You state, “The robust upregulation of GAS6 ligand expression specifically within the risk cluster (Figure 3C).” However, this plot shows similar profiles of GAS6 expression in cluster 2 and 16.</w:t>
            </w:r>
          </w:p>
        </w:tc>
      </w:tr>
    </w:tbl>
    <w:p>
      <w:pPr>
        <w:spacing w:before="80" w:after="40"/>
      </w:pPr>
      <w:r>
        <w:rPr>
          <w:b/>
        </w:rPr>
        <w:t xml:space="preserve">Response: </w:t>
      </w:r>
      <w:r>
        <w:t>We agree that the earlier crosstalk-related interpretation was too strong. In response, we substantially revised and toned down the intercellular signaling narrative. The revised manuscript no longer uses ligand–receptor or pathway-level crosstalk analyses as primary evidence for the central claims. Instead, the main results now rest on the retained-core discovery framework, donor-level state-shift analyses, cross-cohort score-based validation, and independent bulk-cortex concordance. Analyses related to crosstalk, perturbation prioritization, and TF-target enrichment were explicitly repositioned as supplementary mechanistic context rather than as core evidence for discovery or validation.</w:t>
      </w:r>
    </w:p>
    <w:p>
      <w:pPr>
        <w:spacing w:before="0" w:after="120"/>
      </w:pPr>
      <w:r>
        <w:rPr>
          <w:b/>
        </w:rPr>
        <w:t xml:space="preserve">Location in revised manuscript: </w:t>
      </w:r>
      <w:r>
        <w:t>Supplementary mechanistic prioritization sections; Supplementary Figures S4–S5; Discussion final interpretation.</w:t>
      </w:r>
    </w:p>
    <w:p>
      <w:pPr>
        <w:pStyle w:val="Heading3"/>
        <w:spacing w:before="160" w:after="80"/>
      </w:pPr>
      <w:r>
        <w:rPr>
          <w:b/>
        </w:rPr>
        <w:t>Comment R1-9</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The SPP1 Expression vs DLG4 expression is compelling. Since this figure (Figure 3D-E) is bulk data, I think it would be helpful to show in main or supplemental the expression of SPP1 by all cell types in control and ASD samples. The manuscript is trying to make the case that microglial SPP1 is important but other cell types also express SPP1. By showing SPP1 expression in your other annotated cells in control and ASD, you can enhance your point about the importance of microglial SPP1.</w:t>
            </w:r>
          </w:p>
        </w:tc>
      </w:tr>
    </w:tbl>
    <w:p>
      <w:pPr>
        <w:spacing w:before="80" w:after="40"/>
      </w:pPr>
      <w:r>
        <w:rPr>
          <w:b/>
        </w:rPr>
        <w:t xml:space="preserve">Response: </w:t>
      </w:r>
      <w:r>
        <w:t>We agree that the earlier bulk-correlation discussion was more interpretive than necessary. In the revised manuscript, we simplified and tightened the bulk-validation framework so that the main external result is no longer the SPP1–DLG4 correlation itself, but rather the independent tissue-level support for the same candidate/reference axis identified in discovery and validation analyses. This change is also consistent with the revised role of SPP1 in the paper: biologically relevant within the broader remodeling program, but not uniquely sufficient to define the candidate state.</w:t>
      </w:r>
    </w:p>
    <w:p>
      <w:pPr>
        <w:spacing w:before="0" w:after="120"/>
      </w:pPr>
      <w:r>
        <w:rPr>
          <w:b/>
        </w:rPr>
        <w:t xml:space="preserve">Location in revised manuscript: </w:t>
      </w:r>
      <w:r>
        <w:t>Results section on independent bulk-cortex validation; Figure 6; Discussion sections interpreting bulk-cortex support and SPP1.</w:t>
      </w:r>
    </w:p>
    <w:p>
      <w:pPr>
        <w:pStyle w:val="Heading3"/>
        <w:spacing w:before="160" w:after="80"/>
      </w:pPr>
      <w:r>
        <w:rPr>
          <w:b/>
        </w:rPr>
        <w:t>Comment R1-10</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Lipid metabolic remodeling and TFs. Figure 4A was constructed based on manually curated gene sets. Can the list of genes be included in a supplemental figure? Can you also explain more why you think these gene signatures did not emerge from your DEG analysis in Figure 1E? You state that, “This pathway controls the synthesis of potent lipid inflammatory mediators, including prostaglandins and leukotrienes, via rate-limiting enzymes such as PTGS2 (COX-2) and ALOX5, which were specifically enriched in Cluster 2 (Supplementary Figure S4B).” However, this plot shows other clusters indeed also express some of these genes and at levels higher than cluster 2. You state that, “Crucially, the top-ranked drivers of this state included NFKB1 and RELA, the canonical effectors of the NF-kappaB signaling pathway.” However, the Figure 5A shows ELF1, GABPA, STAT1 as top regulators of cluster 2. Additionally, you state that, “The spatial restriction of these high-activity states to Cluster 2 was visually confirmed via feature plots (Figure 5B). The spatial restriction of these high-activity states to Cluster 2 was visually confirmed via feature plots (Figure 5B).” However, NFKB1 looks highest in cluster 7 and this is also visualized in Figure 5A. And, you state, “Most intriguingly, we identified NR1H2 (Liver X Receptor beta, LXR-beta) as a specific master regulator in Cluster 2”. Again, this does not look to be the case for cluster 2 but rather cluster 7.</w:t>
            </w:r>
          </w:p>
        </w:tc>
      </w:tr>
    </w:tbl>
    <w:p>
      <w:pPr>
        <w:spacing w:before="80" w:after="40"/>
      </w:pPr>
      <w:r>
        <w:rPr>
          <w:b/>
        </w:rPr>
        <w:t xml:space="preserve">Response: </w:t>
      </w:r>
      <w:r>
        <w:t>We agree and revised these sections extensively. In the earlier version, the metabolic and transcription-factor analyses were written too strongly and suggested a level of mechanistic specificity not fully supported by the plotted results. In the revised manuscript, these analyses are described as supplementary mechanistic prioritization layers rather than core evidence. They are no longer interpreted as proof of direct upstream control, uniquely state-specific master regulation, or a tightly localized causal cascade restricted to cluster 2. Instead, they are retained only as supportive context that may help prioritize future functional follow-up.</w:t>
      </w:r>
    </w:p>
    <w:p>
      <w:pPr>
        <w:spacing w:before="0" w:after="120"/>
      </w:pPr>
      <w:r>
        <w:rPr>
          <w:b/>
        </w:rPr>
        <w:t xml:space="preserve">Location in revised manuscript: </w:t>
      </w:r>
      <w:r>
        <w:t>Supplementary mechanistic prioritization sections; Supplementary Figures S4–S5; Discussion final interpretation.</w:t>
      </w:r>
    </w:p>
    <w:p>
      <w:pPr>
        <w:pStyle w:val="Heading3"/>
        <w:spacing w:before="160" w:after="80"/>
      </w:pPr>
      <w:r>
        <w:rPr>
          <w:b/>
        </w:rPr>
        <w:t>Comment R1-11</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Reproducibility: another key claim of the paper is the reproducible nature of the findings. I applaud the authors for including such analyses in their manuscript. The additional single nucleus transcriptomics, bulk RNA sequencing, and plasma proteomics help make the points of the paper strong. However, I do question the depth of the analysis for the single nucleus and bulk RNA sequencing datasets. For the single nucleus dataset, I like the approach of the module score. However, the methods state, “To ensure the reproducibility of the "Risk Microglia" signature across sequencing platforms, we performed a projection-based validation on the Velmeshev et al. snRNA-seq dataset. We derived a specific gene signature from the PsychENCODE Cluster 2 (Risk) and Cluster 4 (Homeostatic) populations. These signatures were scored in the validation dataset using AddModuleScore, and differences between ASD and control subjects were assessed using the Wilcoxon rank-sum test.” Earlier in the text you state cluster 0 and 1 represent the homeostatic cluster, so I am confused if the module score plotted in Figure2 is representative of the analyses done for Figure1. In Figure 1C you plotted the microglia cluster 2 proportion per individual which is a statistically rigorous way to represent the data. Can you apply the same plotting and analysis for Figure 2B and C? Representing the data as per cell inflates the size of the sample pool. Can you use this dataset to confirm other claims you make later in the manuscript about eicosanoid pathway and transcription factors? Lastly, it has been previously established (Thrupp 2019) that single nucleus sequencing of microglia specifically undersamples microglia activation genes like SPP1, APOE, and CD74. Does this affect the resolution that you can achieve using single nucleus sequencing as your comparison/validation tool?</w:t>
            </w:r>
          </w:p>
        </w:tc>
      </w:tr>
    </w:tbl>
    <w:p>
      <w:pPr>
        <w:spacing w:before="80" w:after="40"/>
      </w:pPr>
      <w:r>
        <w:rPr>
          <w:b/>
        </w:rPr>
        <w:t xml:space="preserve">Response: </w:t>
      </w:r>
      <w:r>
        <w:t>We agree with this concern and substantially revised the validation framework. First, we removed the earlier inconsistent homeostatic-cluster wording and harmonized the retained-core comparison around the explicit retained clusters carried forward from the discovery-stage audit. Second, and most importantly, we now make a clear distinction between cell-level descriptive patterns and donor-level inferential analyses. In the revised manuscript, cell-level score distributions are shown only as descriptive background, whereas primary inference is performed at the donor level. We also explicitly acknowledge the risk of pseudoreplication in multi-subject single-cell and single-nucleus studies and state that donor-aware summaries provide the principal inferential framework. In this sense, the issue in the earlier version was not the numerical calculation itself, but the inferential weight assigned to cell-level significance, which we now treat as descriptive rather than primary evidence. More specifically, the revised Figure 2 now presents donor-level candidate-minus-reference scores, donor-level retained cluster 2 proportion, and donor-level log2(C2/C0) ratios as the primary evidence for discovery-stage state imbalance. The revised Figure 3 further separates modest cluster 2 enrichment from diagnosis-enhanced internal state amplification, showing that while donor-level enrichment toward the candidate side is detectable, the data do not support a strong model of robust diagnosis-enhanced internal transcriptional separation. In the validation dataset, the revised manuscript now states clearly that mapped-cluster replication was weak, but that program-level score-based support remained directionally concordant, which led us to revise the main reproducibility claim accordingly. We also chose not to treat eicosanoid-pathway or TF-related claims as major validation targets in the revised manuscript, because those analyses are more indirect and more assumption-sensitive than the retained donor-level and program-level evidence that now defines the central conclusion.</w:t>
      </w:r>
    </w:p>
    <w:p>
      <w:pPr>
        <w:spacing w:before="0" w:after="120"/>
      </w:pPr>
      <w:r>
        <w:rPr>
          <w:b/>
        </w:rPr>
        <w:t xml:space="preserve">Location in revised manuscript: </w:t>
      </w:r>
      <w:r>
        <w:t>Figure 2; Figure 3; Figure 5; Supplementary Figure S3; Discussion subsections on donor-aware inference and program-level cross-cohort support.</w:t>
      </w:r>
    </w:p>
    <w:p>
      <w:pPr>
        <w:pStyle w:val="Heading3"/>
        <w:spacing w:before="160" w:after="80"/>
      </w:pPr>
      <w:r>
        <w:rPr>
          <w:b/>
        </w:rPr>
        <w:t>Comment R1-12</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Minor points for revision: Figure 1. High quality control and doublet removal for PsychENCODE: different cell types have different profiles for nFeature_RNA and nCount_RNA. Do your results change if you first assign a cell type based on marker genes, then plot the nFeature_RNA and nCount_RNA and check if your thresholds are removing low quality cells. Can you include in the supplement a UMAP plotting cells from each donor to confirm/visualize the claim that the Harmony algorithm successfully integrated the datasets without losing biological variation. Can you include UMAPs (in main or supplemental) displaying each cell class’s marker gene distribution? Additionally, can you include another marker for microglia since C3 is also expressed by astrocytes. Canonical markers include SPI1 (which you also note later in the text), AIF1, and CX3CR1. I ask about this visualization because there appear to be three satellite clusters (one for AST, MG, and OPC) which is usually indicative of a different cell type, confounding technical variable, or cycling cells. Can you show (in main or supplemental) the proportion of each cell type in control versus ASD? It would be interesting to see if single cell transcriptomic datasets reflect the increased density of microglia seen in histological data of control versus ASD. Can you list example genes underlying the gene-sets in Figure 1E. Figure 2. What is the cluster that is only made of ASD cells in Figure 2A? That is strikingly specific to ASD. Figure 5C. Why does figure 5C look different from supplemental figure 4B?</w:t>
            </w:r>
          </w:p>
        </w:tc>
      </w:tr>
    </w:tbl>
    <w:p>
      <w:pPr>
        <w:spacing w:before="80" w:after="40"/>
      </w:pPr>
      <w:r>
        <w:rPr>
          <w:b/>
        </w:rPr>
        <w:t xml:space="preserve">Response: </w:t>
      </w:r>
      <w:r>
        <w:t>We agree that the earlier figure system required stronger descriptive context and more restrained interpretation. In response, we substantially rebuilt the main/supplementary figure structure. The revised Supplementary Figure S2 now provides discovery-cohort audit and QC context for the all-cluster microglial analysis space, including donor-aware UMAP context, donor-level proportions across all discovery clusters, audit superclass assignments, and lineage total scores. The revised Supplementary Figure S3 provides validation-cohort context and donor-level score-based supporting analyses rather than relying on cell-level significance as primary evidence. More broadly, several figure-specific claims from the earlier version were either removed or rewritten so that the revised figures now support a more conservative interpretation centered on retained-core remodeling, donor-level inference, and program-level reproducibility. Because the revised manuscript no longer relies on the earlier cluster-2-centered figure architecture, a number of figure-specific concerns raised for the earlier version were also resolved by the broader restructuring of the figure system itself.</w:t>
      </w:r>
    </w:p>
    <w:p>
      <w:pPr>
        <w:spacing w:before="0" w:after="120"/>
      </w:pPr>
      <w:r>
        <w:rPr>
          <w:b/>
        </w:rPr>
        <w:t xml:space="preserve">Location in revised manuscript: </w:t>
      </w:r>
      <w:r>
        <w:t>Figure 1; Supplementary Figure S2; Figure 5; Supplementary Figure S3; revised Results and Discussion throughout.</w:t>
      </w:r>
    </w:p>
    <w:p>
      <w:pPr>
        <w:pStyle w:val="Heading1"/>
      </w:pPr>
      <w:r>
        <w:t>Response to Reviewer 2</w:t>
      </w:r>
    </w:p>
    <w:p>
      <w:r>
        <w:t>We thank Reviewer 2 for the careful evaluation and for emphasizing methodological transparency, reproducibility, and interpretive restraint. We agree that an entirely computational manuscript must meet a high standard of workflow clarity, documentation, and conservative inference. In response, we substantially revised the manuscript to strengthen code/data availability, methods transparency, figure logic, and the interpretation of validation and mechanistic analyses. In particular, we now make the analytical framework explicit as a retained-core, multi-stage discovery/validation/external-validation workflow; provide software environments and key analysis parameters in Supplementary Table S10; provide frozen candidate/reference programs and related supplementary tables; add a workflow overview figure; clarify that both the discovery and validation cohorts are single-nucleus datasets; and reduce overstatement in the bulk/plasma/metabolic and TF-related sections. The revised manuscript now frames the main finding as broad cortical microglial remodeling within a retained core, with a reproducible but non-discrete candidate/reference axis, rather than a strongly discrete disease-specific subtype.</w:t>
      </w:r>
    </w:p>
    <w:p>
      <w:pPr>
        <w:pStyle w:val="Heading3"/>
        <w:spacing w:before="160" w:after="80"/>
      </w:pPr>
      <w:r>
        <w:rPr>
          <w:b/>
        </w:rPr>
        <w:t>Comment R2-1</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This manuscript presents a computational reanalysis of previously published single-nucleus RNA sequencing (snRNA-seq) datasets from human postmortem cortical tissue of individuals with Autism Spectrum Disorder (ASD) and neurotypical controls. The analyses focused on an ASD-enriched SPP1+ microglial state. The work is entirely computational, and it must meet a high standard of methodological transparency, reproducibility, and analytical rigor. In its current form, the manuscript falls short of this standard in several important respects.</w:t>
            </w:r>
          </w:p>
        </w:tc>
      </w:tr>
    </w:tbl>
    <w:p>
      <w:pPr>
        <w:spacing w:before="80" w:after="40"/>
      </w:pPr>
      <w:r>
        <w:rPr>
          <w:b/>
        </w:rPr>
        <w:t xml:space="preserve">Response: </w:t>
      </w:r>
      <w:r>
        <w:t>We agree with this overall assessment. The revised manuscript was substantially reorganized to improve transparency, reproducibility, and interpretive restraint. In particular, we now provide public code and archived reproducibility materials, a clearer retained-core workflow, expanded supplementary documentation, explicit software and parameter tables, and a more conservative interpretation in which the principal finding is a reproducible but non-discrete retained-core candidate/reference remodeling axis.</w:t>
      </w:r>
    </w:p>
    <w:p>
      <w:pPr>
        <w:spacing w:before="0" w:after="120"/>
      </w:pPr>
      <w:r>
        <w:rPr>
          <w:b/>
        </w:rPr>
        <w:t xml:space="preserve">Location in revised manuscript: </w:t>
      </w:r>
      <w:r>
        <w:t>Throughout the revised manuscript; Availability of data and materials; Supplementary Figures S1–S5; Supplementary Tables S1–S10.</w:t>
      </w:r>
    </w:p>
    <w:p>
      <w:pPr>
        <w:pStyle w:val="Heading3"/>
        <w:spacing w:before="160" w:after="80"/>
      </w:pPr>
      <w:r>
        <w:rPr>
          <w:b/>
        </w:rPr>
        <w:t>Comment R2-2</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1. Given that this work is entirely computational, the public release of all analysis code — for example, in a version-controlled repository such as GitHub or Zenodo — is essential, not merely recommended. Without it, independent replication of the findings is not possible. The authors must make the full analytical pipeline available alongside the manuscript. This should include all preprocessing, integration, clustering, differential expression, pathway enrichment, ligand–receptor, and regulatory network inference steps.</w:t>
            </w:r>
          </w:p>
        </w:tc>
      </w:tr>
    </w:tbl>
    <w:p>
      <w:pPr>
        <w:spacing w:before="80" w:after="40"/>
      </w:pPr>
      <w:r>
        <w:rPr>
          <w:b/>
        </w:rPr>
        <w:t xml:space="preserve">Response: </w:t>
      </w:r>
      <w:r>
        <w:t>We agree. In response, we made the analysis code and archived reproducibility materials publicly available and explicitly cited them in the revised manuscript. The revised Availability of data and materials section now points readers to both the public GitHub repository and the Zenodo archive, and the revised reference list includes both resources as formal citations. We also retained a structured supplementary software/parameter table to document the computational environment more transparently. This revision was made specifically to address the Reviewer’s concern that the analytical pipeline should be independently inspectable and reproducible.</w:t>
      </w:r>
    </w:p>
    <w:p>
      <w:pPr>
        <w:spacing w:before="0" w:after="120"/>
      </w:pPr>
      <w:r>
        <w:rPr>
          <w:b/>
        </w:rPr>
        <w:t xml:space="preserve">Location in revised manuscript: </w:t>
      </w:r>
      <w:r>
        <w:t>Availability of data and materials; References; Supplementary Table S10.</w:t>
      </w:r>
    </w:p>
    <w:p>
      <w:pPr>
        <w:pStyle w:val="Heading3"/>
        <w:spacing w:before="160" w:after="80"/>
      </w:pPr>
      <w:r>
        <w:rPr>
          <w:b/>
        </w:rPr>
        <w:t>Comment R2-3</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2a. The authors must provide a comprehensive listing of all software packages and version numbers used throughout the analyses.</w:t>
            </w:r>
          </w:p>
        </w:tc>
      </w:tr>
    </w:tbl>
    <w:p>
      <w:pPr>
        <w:spacing w:before="80" w:after="40"/>
      </w:pPr>
      <w:r>
        <w:rPr>
          <w:b/>
        </w:rPr>
        <w:t xml:space="preserve">Response: </w:t>
      </w:r>
      <w:r>
        <w:t>We agree. In the revised manuscript, we now state explicitly that exact software environments, package versions, and key analysis parameters are provided in Supplementary Table S10. This table was restructured to provide a clearer and more comprehensive record of the computational environment used throughout the study.</w:t>
      </w:r>
    </w:p>
    <w:p>
      <w:pPr>
        <w:spacing w:before="0" w:after="120"/>
      </w:pPr>
      <w:r>
        <w:rPr>
          <w:b/>
        </w:rPr>
        <w:t xml:space="preserve">Location in revised manuscript: </w:t>
      </w:r>
      <w:r>
        <w:t>Materials and methods; Supplementary Table S10.</w:t>
      </w:r>
    </w:p>
    <w:p>
      <w:pPr>
        <w:pStyle w:val="Heading3"/>
        <w:spacing w:before="160" w:after="80"/>
      </w:pPr>
      <w:r>
        <w:rPr>
          <w:b/>
        </w:rPr>
        <w:t>Comment R2-4</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2b. The methods used for microglial clustering and subclustering, including the resolution parameter and any criteria guiding its selection, are not provided. The large number of microglial subclusters identified appears high for this cell type and sample size, and the rationale for this resolution must be explicitly justified. Authors should describe the criteria used to evaluate clustering quality (e.g., silhouette scores, marker gene specificity) and explain why the chosen resolution was preferred over alternatives.</w:t>
            </w:r>
          </w:p>
        </w:tc>
      </w:tr>
    </w:tbl>
    <w:p>
      <w:pPr>
        <w:spacing w:before="80" w:after="40"/>
      </w:pPr>
      <w:r>
        <w:rPr>
          <w:b/>
        </w:rPr>
        <w:t xml:space="preserve">Response: </w:t>
      </w:r>
      <w:r>
        <w:t>We agree that the earlier manuscript did not explain the clustering rationale with sufficient clarity. In the revised Methods, we now state that the discovery-stage clustering resolution was not selected to maximize ASD-versus-control separation, but rather to expose the full structure of the reclustered microglial compartment before explicit auditing. We further explain that the resulting 19-cluster discovery object was then evaluated under an audit-first framework, and that exact clustering parameters, including dimensional and resolution settings, are now listed in Supplementary Table S10. More broadly, the revised manuscript no longer treats all reclustered populations as equally credible disease-state candidates; instead, clustering served as the starting point for explicit retained-core auditing.</w:t>
      </w:r>
    </w:p>
    <w:p>
      <w:pPr>
        <w:spacing w:before="0" w:after="120"/>
      </w:pPr>
      <w:r>
        <w:rPr>
          <w:b/>
        </w:rPr>
        <w:t xml:space="preserve">Location in revised manuscript: </w:t>
      </w:r>
      <w:r>
        <w:t>Materials and methods; Supplementary Table S10; Figure 1 and corresponding legend.</w:t>
      </w:r>
    </w:p>
    <w:p>
      <w:pPr>
        <w:pStyle w:val="Heading3"/>
        <w:spacing w:before="160" w:after="80"/>
      </w:pPr>
      <w:r>
        <w:rPr>
          <w:b/>
        </w:rPr>
        <w:t>Comment R2-5</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2c. When introducing each published dataset used in the study, the manuscript should clearly summarize the key characteristics of the cohort: number of ASD cases and controls, age range, sex distribution, brain regions sampled, number of nuclei retained after quality control, and sequencing platform. This information is essential for the reader to assess generalizability and to contextualize cross-cohort comparisons.</w:t>
            </w:r>
          </w:p>
        </w:tc>
      </w:tr>
    </w:tbl>
    <w:p>
      <w:pPr>
        <w:spacing w:before="80" w:after="40"/>
      </w:pPr>
      <w:r>
        <w:rPr>
          <w:b/>
        </w:rPr>
        <w:t xml:space="preserve">Response: </w:t>
      </w:r>
      <w:r>
        <w:t>We agree. In the revised manuscript, we now direct readers to Supplementary Table S1 for cohort counts and retained cell- or sample-level summaries for the three analyzed resources. This table was incorporated to make cross-cohort context more transparent and to support interpretation of the discovery, validation, and external bulk-cortex analyses.</w:t>
      </w:r>
    </w:p>
    <w:p>
      <w:pPr>
        <w:spacing w:before="0" w:after="120"/>
      </w:pPr>
      <w:r>
        <w:rPr>
          <w:b/>
        </w:rPr>
        <w:t xml:space="preserve">Location in revised manuscript: </w:t>
      </w:r>
      <w:r>
        <w:t>Materials and methods; Supplementary Table S1.</w:t>
      </w:r>
    </w:p>
    <w:p>
      <w:pPr>
        <w:pStyle w:val="Heading3"/>
        <w:spacing w:before="160" w:after="80"/>
      </w:pPr>
      <w:r>
        <w:rPr>
          <w:b/>
        </w:rPr>
        <w:t>Comment R2-6</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2d. The manuscript should provide appropriate literature references supporting the canonical marker genes used for cell type annotation, or include these marker gene lists in a supplementary table. Similarly, the manually curated metabolic gene sets used for pathway scoring should be made available as supplementary data, as these choices directly affect the central claims of the paper.</w:t>
            </w:r>
          </w:p>
        </w:tc>
      </w:tr>
    </w:tbl>
    <w:p>
      <w:pPr>
        <w:spacing w:before="80" w:after="40"/>
      </w:pPr>
      <w:r>
        <w:rPr>
          <w:b/>
        </w:rPr>
        <w:t xml:space="preserve">Response: </w:t>
      </w:r>
      <w:r>
        <w:t>We agree. In the revised manuscript, we clarified the marker-based logic used for lineage review and retained-core auditing, and we also provide supporting supplementary materials for the manually curated program/gene-set framework used in the study. More specifically, the revised supplementary materials now include the frozen candidate/reference program lists and related supporting tables, and the methods text was revised to make the marker- and program-based analytical framework more transparent.</w:t>
      </w:r>
    </w:p>
    <w:p>
      <w:pPr>
        <w:spacing w:before="0" w:after="120"/>
      </w:pPr>
      <w:r>
        <w:rPr>
          <w:b/>
        </w:rPr>
        <w:t xml:space="preserve">Location in revised manuscript: </w:t>
      </w:r>
      <w:r>
        <w:t>Materials and methods; Supplementary Tables S3–S5.</w:t>
      </w:r>
    </w:p>
    <w:p>
      <w:pPr>
        <w:pStyle w:val="Heading3"/>
        <w:spacing w:before="160" w:after="80"/>
      </w:pPr>
      <w:r>
        <w:rPr>
          <w:b/>
        </w:rPr>
        <w:t>Comment R2-7</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2e. The gene signatures used to define the SPP1+ risk state (Cluster 2) and the homeostatic reference population for cross-platform validation must be provided in supplementary data. There is also a notable inconsistency in the manuscript: the homeostatic microglial cluster is referred to as Cluster 4 in the Methods section, but as Clusters 0 and 1 in the Results section. This discrepancy must be resolved and clearly explained throughout the manuscript.</w:t>
            </w:r>
          </w:p>
        </w:tc>
      </w:tr>
    </w:tbl>
    <w:p>
      <w:pPr>
        <w:spacing w:before="80" w:after="40"/>
      </w:pPr>
      <w:r>
        <w:rPr>
          <w:b/>
        </w:rPr>
        <w:t xml:space="preserve">Response: </w:t>
      </w:r>
      <w:r>
        <w:t>We agree. In the revised manuscript, the full frozen candidate/reference program lists are now provided in Supplementary Table S3. We also resolved the earlier inconsistency in the reference-cluster designation. The revised manuscript now consistently treats cluster 0 as the reference-like comparator within the retained core and explicitly states that the earlier inconsistent designation from prior drafts is no longer used. More broadly, the revised narrative no longer relies on an unstable “homeostatic cluster” framing, but instead uses a retained-core candidate/reference contrast defined through the discovery-stage audit.</w:t>
      </w:r>
    </w:p>
    <w:p>
      <w:pPr>
        <w:spacing w:before="0" w:after="120"/>
      </w:pPr>
      <w:r>
        <w:rPr>
          <w:b/>
        </w:rPr>
        <w:t xml:space="preserve">Location in revised manuscript: </w:t>
      </w:r>
      <w:r>
        <w:t>Materials and methods; Supplementary Table S3; Results and Discussion sections describing the retained-core framework.</w:t>
      </w:r>
    </w:p>
    <w:p>
      <w:pPr>
        <w:pStyle w:val="Heading3"/>
        <w:spacing w:before="160" w:after="80"/>
      </w:pPr>
      <w:r>
        <w:rPr>
          <w:b/>
        </w:rPr>
        <w:t>Comment R2-8</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3f. An overview figure summarizing the full analytical workflow would greatly assist readers in following the logic of the study and the relationships between datasets and analyses.</w:t>
            </w:r>
          </w:p>
        </w:tc>
      </w:tr>
    </w:tbl>
    <w:p>
      <w:pPr>
        <w:spacing w:before="80" w:after="40"/>
      </w:pPr>
      <w:r>
        <w:rPr>
          <w:b/>
        </w:rPr>
        <w:t xml:space="preserve">Response: </w:t>
      </w:r>
      <w:r>
        <w:t>We agree and added a workflow overview as Supplementary Figure S1. The revised workflow figure summarizes discovery-stage auditing, retained-core definition, cross-cohort validation, and external bulk-cortex validation, and was included specifically to clarify the logic and hierarchy of the overall study design.</w:t>
      </w:r>
    </w:p>
    <w:p>
      <w:pPr>
        <w:spacing w:before="0" w:after="120"/>
      </w:pPr>
      <w:r>
        <w:rPr>
          <w:b/>
        </w:rPr>
        <w:t xml:space="preserve">Location in revised manuscript: </w:t>
      </w:r>
      <w:r>
        <w:t>Supplementary Figure S1 and corresponding legend.</w:t>
      </w:r>
    </w:p>
    <w:p>
      <w:pPr>
        <w:pStyle w:val="Heading3"/>
        <w:spacing w:before="160" w:after="80"/>
      </w:pPr>
      <w:r>
        <w:rPr>
          <w:b/>
        </w:rPr>
        <w:t>Comment R2-9</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3g. Figure 1A and 1B should include the number of nuclei (n = XXX). Because panel B shows a subclustering of the microglia identified in panel A, this relationship should be clearly indicated — for instance, by using a visually distinct color palette (e.g., blue tones rather than grey) so that the subclusters are immediately distinguishable.</w:t>
            </w:r>
          </w:p>
        </w:tc>
      </w:tr>
    </w:tbl>
    <w:p>
      <w:pPr>
        <w:spacing w:before="80" w:after="40"/>
      </w:pPr>
      <w:r>
        <w:rPr>
          <w:b/>
        </w:rPr>
        <w:t xml:space="preserve">Response: </w:t>
      </w:r>
      <w:r>
        <w:t>We agree. In the revised manuscript, the Figure 1 legend now includes the relevant nucleus counts for the discovery object and the retained core, and Figure 1 was reorganized so that the relationship between the broader discovery-stage microglial space and the retained-core definition is clearer.</w:t>
      </w:r>
    </w:p>
    <w:p>
      <w:pPr>
        <w:spacing w:before="0" w:after="120"/>
      </w:pPr>
      <w:r>
        <w:rPr>
          <w:b/>
        </w:rPr>
        <w:t xml:space="preserve">Location in revised manuscript: </w:t>
      </w:r>
      <w:r>
        <w:t>Figure 1 and corresponding legend.</w:t>
      </w:r>
    </w:p>
    <w:p>
      <w:pPr>
        <w:pStyle w:val="Heading3"/>
        <w:spacing w:before="160" w:after="80"/>
      </w:pPr>
      <w:r>
        <w:rPr>
          <w:b/>
        </w:rPr>
        <w:t>Comment R2-10</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3h. Color codes for microglial subclusters should be consistent across all figures (e.g., Figures 3C, 4B, 4C). Using different color palettes for the same populations across panels makes comparisons unnecessarily difficult. For subclusters that are not explicitly discussed in the text, the authors should consider using transparency or a muted color, while highlighting Cluster 2 and the homeostatic clusters (0/1 or 4?) to improve visual focus.</w:t>
            </w:r>
          </w:p>
        </w:tc>
      </w:tr>
    </w:tbl>
    <w:p>
      <w:pPr>
        <w:spacing w:before="80" w:after="40"/>
      </w:pPr>
      <w:r>
        <w:rPr>
          <w:b/>
        </w:rPr>
        <w:t xml:space="preserve">Response: </w:t>
      </w:r>
      <w:r>
        <w:t>We agree and revised the figure system to improve internal consistency and reduce interpretive confusion. In the revised main/supplementary figure hierarchy, discovery audit, retained-core definition, validation support, and mechanistic prioritization were reorganized so that figure roles and visual emphasis are clearer. We also reduced reliance on the earlier cluster-2-centered visual framing and instead aligned the figure logic around retained-core discovery, donor-aware inference, and program-level reproducibility.</w:t>
      </w:r>
    </w:p>
    <w:p>
      <w:pPr>
        <w:spacing w:before="0" w:after="120"/>
      </w:pPr>
      <w:r>
        <w:rPr>
          <w:b/>
        </w:rPr>
        <w:t xml:space="preserve">Location in revised manuscript: </w:t>
      </w:r>
      <w:r>
        <w:t>Figures 1–6; Supplementary Figures S1–S5.</w:t>
      </w:r>
    </w:p>
    <w:p>
      <w:pPr>
        <w:pStyle w:val="Heading3"/>
        <w:spacing w:before="160" w:after="80"/>
      </w:pPr>
      <w:r>
        <w:rPr>
          <w:b/>
        </w:rPr>
        <w:t>Comment R2-11</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3i. The heatmap and violin plots in Figure 4 appear to present largely redundant information. The authors should consider retaining the most informative visualization in the main figure and moving the other to the supplementary materials.</w:t>
            </w:r>
          </w:p>
        </w:tc>
      </w:tr>
    </w:tbl>
    <w:p>
      <w:pPr>
        <w:spacing w:before="80" w:after="40"/>
      </w:pPr>
      <w:r>
        <w:rPr>
          <w:b/>
        </w:rPr>
        <w:t xml:space="preserve">Response: </w:t>
      </w:r>
      <w:r>
        <w:t>We agree and revised the figure system to reduce redundancy and better align figure content with the hierarchy of the manuscript’s main claims. In the revised version, figure roles were reassessed so that the main figures support the primary retained-core remodeling narrative more directly, while supporting or downstream analyses were moved into the supplementary materials where appropriate.</w:t>
      </w:r>
    </w:p>
    <w:p>
      <w:pPr>
        <w:spacing w:before="0" w:after="120"/>
      </w:pPr>
      <w:r>
        <w:rPr>
          <w:b/>
        </w:rPr>
        <w:t xml:space="preserve">Location in revised manuscript: </w:t>
      </w:r>
      <w:r>
        <w:t>Main figure set and corresponding supplementary figures.</w:t>
      </w:r>
    </w:p>
    <w:p>
      <w:pPr>
        <w:pStyle w:val="Heading3"/>
        <w:spacing w:before="160" w:after="80"/>
      </w:pPr>
      <w:r>
        <w:rPr>
          <w:b/>
        </w:rPr>
        <w:t>Comment R2-12</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4. The identification of a large number of microglial subclusters, of which only a subset (Clusters 0/1 and 2) are discussed substantively, is not adequately justified. The authors should address this in the Discussion: what is the biological interpretation of the remaining subclusters? Are they considered biologically meaningful or do they reflect technical variation? Could the primary findings be recapitulated with a simpler, lower-resolution clustering? This is important not only for transparency but also for situating the identified risk state within the broader landscape of microglial heterogeneity.</w:t>
            </w:r>
          </w:p>
        </w:tc>
      </w:tr>
    </w:tbl>
    <w:p>
      <w:pPr>
        <w:spacing w:before="80" w:after="40"/>
      </w:pPr>
      <w:r>
        <w:rPr>
          <w:b/>
        </w:rPr>
        <w:t xml:space="preserve">Response: </w:t>
      </w:r>
      <w:r>
        <w:t>We agree that the earlier version did not sufficiently explain why only a subset of discovery-stage clusters were carried forward. In response, we now address this issue explicitly in the Discussion. The revised manuscript states that the non-retained discovery clusters should not be treated as a single homogeneous category: some may reflect biologically real but less well-resolved heterogeneity, whereas others are more consistent with residual non-microglial background, donor-poor fragmentation, or unstable lineage interpretation within a complex cortical tissue context. The key point is that the study’s goal was not to catalog every reclustered subpopulation as an equally credible disease-state candidate, but to identify the most lineage-coherent and donor-supported substrate for conservative disease inference. Under this audit-first framework, the retained cortical microglial core provided the principal basis for downstream inference. We also state explicitly that lower-resolution clustering may still recover a broad remodeling signal, but would likely blur the candidate/reference contrast by merging retained and non-retained structures into broader composite groups.</w:t>
      </w:r>
    </w:p>
    <w:p>
      <w:pPr>
        <w:spacing w:before="0" w:after="120"/>
      </w:pPr>
      <w:r>
        <w:rPr>
          <w:b/>
        </w:rPr>
        <w:t xml:space="preserve">Location in revised manuscript: </w:t>
      </w:r>
      <w:r>
        <w:t>Discussion subsection on non-retained discovery clusters.</w:t>
      </w:r>
    </w:p>
    <w:p>
      <w:pPr>
        <w:pStyle w:val="Heading3"/>
        <w:spacing w:before="160" w:after="80"/>
      </w:pPr>
      <w:r>
        <w:rPr>
          <w:b/>
        </w:rPr>
        <w:t>Comment R2-13</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5. The reasoning underlying the bulk dataset analyses requires clearer presentation. Specifically, the biological interpretation of the significant negative correlation between SPP1 and DLG4 expression observed in both the ASD and control bulk RNA-seq datasets is not explained. The authors should discuss what this correlation implies in the context of synaptic pruning, and address whether this relationship would be expected across all brain transcriptomic datasets or whether it represents a specific feature of the ASD condition or the cortical regions examined.</w:t>
            </w:r>
          </w:p>
        </w:tc>
      </w:tr>
    </w:tbl>
    <w:p>
      <w:pPr>
        <w:spacing w:before="80" w:after="40"/>
      </w:pPr>
      <w:r>
        <w:rPr>
          <w:b/>
        </w:rPr>
        <w:t xml:space="preserve">Response: </w:t>
      </w:r>
      <w:r>
        <w:t>We agree that the earlier bulk-correlation discussion was more interpretive than necessary. In the revised manuscript, we simplified and tightened the bulk-validation framework so that the main external result is no longer the SPP1–DLG4 correlation itself, but rather the independent tissue-level support for the same candidate/reference axis identified in discovery and validation analyses. Specifically, the revised bulk section now emphasizes the discovery-derived frozen candidate and reference programs, their projection into the Gandal 2022 bulk cortex dataset, and the directionally stable effects for candidate score, reference score, and candidate-minus-reference score across leave-one-region-out analyses. This revision reduces reliance on a single correlation-based interpretation and aligns the bulk dataset with the same core axis used throughout the manuscript. For the same reason, we intentionally focused the revised external validation framework on the single bulk-cortex cohort that most directly and transparently tests whether the discovery-derived candidate/reference axis is recoverable at the tissue level. We did not retain broader ancillary bulk correlations as a major validation layer because they were more indirect and more difficult to interpret within the revised evidentiary hierarchy, rather than because they were directionally contradictory.</w:t>
      </w:r>
    </w:p>
    <w:p>
      <w:pPr>
        <w:spacing w:before="0" w:after="120"/>
      </w:pPr>
      <w:r>
        <w:rPr>
          <w:b/>
        </w:rPr>
        <w:t xml:space="preserve">Location in revised manuscript: </w:t>
      </w:r>
      <w:r>
        <w:t>Abstract; Results section on independent bulk-cortex validation; Figure 6; Supplementary Tables S8–S9.</w:t>
      </w:r>
    </w:p>
    <w:p>
      <w:pPr>
        <w:pStyle w:val="Heading3"/>
        <w:spacing w:before="160" w:after="80"/>
      </w:pPr>
      <w:r>
        <w:rPr>
          <w:b/>
        </w:rPr>
        <w:t>Comment R2-14</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6. The reanalysis of the plasma metabolomics dataset, focused on PGE2 and related eicosanoids, does not establish a direct mechanistic link to the SPP1+ microglial state identified in cortical tissue. The claim that this state “is functionally active in generating systemic lipid mediators” exceeds the level of evidence provided and must be moderated. The authors should reframe this as a hypothesis to be tested in future work, and should clearly acknowledge in the Discussion that the plasma metabolomic findings represent a correlative, cross-compartment observation that requires direct experimental validation before causal inference is warranted.</w:t>
            </w:r>
          </w:p>
        </w:tc>
      </w:tr>
    </w:tbl>
    <w:p>
      <w:pPr>
        <w:spacing w:before="80" w:after="40"/>
      </w:pPr>
      <w:r>
        <w:rPr>
          <w:b/>
        </w:rPr>
        <w:t xml:space="preserve">Response: </w:t>
      </w:r>
      <w:r>
        <w:t>We agree and revised the manuscript accordingly. The revised version no longer presents plasma metabolomic findings as evidence that the cortical candidate program directly generates systemic lipid mediators. Instead, these observations are now explicitly described as correlative cross-compartment findings that may be biologically compatible with the broader retained-core remodeling framework but do not establish direct mechanistic linkage or causality. This interpretive moderation is now reflected both in the Results/Discussion text and in the overall hierarchy of the manuscript, where perturbation- and TF-related analyses are retained only as supplementary mechanistic context rather than as primary evidence for causal inference.</w:t>
      </w:r>
    </w:p>
    <w:p>
      <w:pPr>
        <w:spacing w:before="0" w:after="120"/>
      </w:pPr>
      <w:r>
        <w:rPr>
          <w:b/>
        </w:rPr>
        <w:t xml:space="preserve">Location in revised manuscript: </w:t>
      </w:r>
      <w:r>
        <w:t>Discussion; Limitations; supplementary mechanistic prioritization sections.</w:t>
      </w:r>
    </w:p>
    <w:p>
      <w:pPr>
        <w:pStyle w:val="Heading3"/>
        <w:spacing w:before="160" w:after="80"/>
      </w:pPr>
      <w:r>
        <w:rPr>
          <w:b/>
        </w:rPr>
        <w:t>Comment R2-15</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Major Comment 7. The description in the Results section of transcription factor activity and enzyme expression governing the eicosanoid cascade does not appear to be fully consistent with what is shown in Figure 5. The authors should carefully re-examine this section and ensure that all textual claims are directly and unambiguously supported by the corresponding figure panels. Any discrepancies between the text and figures must be resolved.</w:t>
            </w:r>
          </w:p>
        </w:tc>
      </w:tr>
    </w:tbl>
    <w:p>
      <w:pPr>
        <w:spacing w:before="80" w:after="40"/>
      </w:pPr>
      <w:r>
        <w:rPr>
          <w:b/>
        </w:rPr>
        <w:t xml:space="preserve">Response: </w:t>
      </w:r>
      <w:r>
        <w:t>We agree and re-examined the Figure 5-associated text carefully. In the revised manuscript, we removed or moderated claims that were not directly and unambiguously supported by the plotted results and further demoted the TF/prioritization analyses to a supplementary mechanistic layer. The revised text no longer uses Figure 5 to support strong claims of uniquely specific master regulators or a tightly localized causal cascade. Instead, Figure 5 and the associated supplementary TF analyses are now presented as hypothesis-generating regulatory prioritization compatible with the broader candidate/reference remodeling framework.</w:t>
      </w:r>
    </w:p>
    <w:p>
      <w:pPr>
        <w:spacing w:before="0" w:after="120"/>
      </w:pPr>
      <w:r>
        <w:rPr>
          <w:b/>
        </w:rPr>
        <w:t xml:space="preserve">Location in revised manuscript: </w:t>
      </w:r>
      <w:r>
        <w:t>Results section on supplementary mechanistic prioritization; Supplementary Figure S5 and corresponding legend; Discussion final interpretation.</w:t>
      </w:r>
    </w:p>
    <w:p>
      <w:pPr>
        <w:pStyle w:val="Heading3"/>
        <w:spacing w:before="160" w:after="80"/>
      </w:pPr>
      <w:r>
        <w:rPr>
          <w:b/>
        </w:rPr>
        <w:t>Comment R2-16</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Minor Comment 1. Cluster 2 identified in this reanalysis appears to overlap substantially with the “reactive microglia” population described by Wamsley et al. (2024, PMID: 38781372) in Figure 1F of their original publication, which was also significantly enriched in ASD cortex. This comparison should be addressed explicitly, either in the Introduction to motivate the microglial subclustering approach, or in the Discussion to contextualize the novel contribution of the present study relative to previously published observations.</w:t>
            </w:r>
          </w:p>
        </w:tc>
      </w:tr>
    </w:tbl>
    <w:p>
      <w:pPr>
        <w:spacing w:before="80" w:after="40"/>
      </w:pPr>
      <w:r>
        <w:rPr>
          <w:b/>
        </w:rPr>
        <w:t xml:space="preserve">Response: </w:t>
      </w:r>
      <w:r>
        <w:t>We agree and now address this comparison explicitly in the Discussion. The revised manuscript states that the candidate-side cluster identified in our reanalysis appears to overlap substantially with the reactive microglia population described by Wamsley et al. (2024), while also emphasizing that the novel contribution of the present study lies not in claiming an entirely new microglial population, but in the retained-core audit framework, donor-aware distinction between compositional shift and diagnosis-enhanced internal amplification, and the demonstration that the same candidate/reference contrast is most reproducibly recoverable at the program level across independent single-nucleus and bulk-cortex datasets.</w:t>
      </w:r>
    </w:p>
    <w:p>
      <w:pPr>
        <w:spacing w:before="0" w:after="120"/>
      </w:pPr>
      <w:r>
        <w:rPr>
          <w:b/>
        </w:rPr>
        <w:t xml:space="preserve">Location in revised manuscript: </w:t>
      </w:r>
      <w:r>
        <w:t>Discussion section comparing the retained-core candidate side with Wamsley reactive microglia.</w:t>
      </w:r>
    </w:p>
    <w:p>
      <w:pPr>
        <w:pStyle w:val="Heading3"/>
        <w:spacing w:before="160" w:after="80"/>
      </w:pPr>
      <w:r>
        <w:rPr>
          <w:b/>
        </w:rPr>
        <w:t>Comment R2-17</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Minor Comment 2. The presentation of the cross-platform validation is misleading. Both the primary dataset (Wamsley et al.) and the validation dataset (Velmeshev et al., 2019, PMID: 31097668) employed single-nucleus RNA sequencing (snRNA-seq) of postmortem tissue; neither used whole-cell sequencing. The text should be corrected accordingly.</w:t>
            </w:r>
          </w:p>
        </w:tc>
      </w:tr>
    </w:tbl>
    <w:p>
      <w:pPr>
        <w:spacing w:before="80" w:after="40"/>
      </w:pPr>
      <w:r>
        <w:rPr>
          <w:b/>
        </w:rPr>
        <w:t xml:space="preserve">Response: </w:t>
      </w:r>
      <w:r>
        <w:t>We agree and corrected this wording throughout. The revised manuscript now consistently describes the discovery and validation resources as single-nucleus datasets and no longer presents this comparison as “cross-platform” in the earlier misleading sense. This change was made in the Methods, Results, and Discussion where relevant.</w:t>
      </w:r>
    </w:p>
    <w:p>
      <w:pPr>
        <w:spacing w:before="0" w:after="120"/>
      </w:pPr>
      <w:r>
        <w:rPr>
          <w:b/>
        </w:rPr>
        <w:t xml:space="preserve">Location in revised manuscript: </w:t>
      </w:r>
      <w:r>
        <w:t>Methods; Results; Discussion.</w:t>
      </w:r>
    </w:p>
    <w:p>
      <w:pPr>
        <w:pStyle w:val="Heading3"/>
        <w:spacing w:before="160" w:after="80"/>
      </w:pPr>
      <w:r>
        <w:rPr>
          <w:b/>
        </w:rPr>
        <w:t>Comment R2-18</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Minor Comment 3. It is unclear from the Results section whether the CellChat ligand–receptor inference analysis was performed on the PSYCHENCODE snRNA-seq dataset only, or on both datasets. This should be stated explicitly. Additionally, the rationale for the prioritization of synapse elimination–relevant pathways, which is currently described only in the Methods, should be briefly reiterated in the Results section for clarity.</w:t>
            </w:r>
          </w:p>
        </w:tc>
      </w:tr>
    </w:tbl>
    <w:p>
      <w:pPr>
        <w:spacing w:before="80" w:after="40"/>
      </w:pPr>
      <w:r>
        <w:rPr>
          <w:b/>
        </w:rPr>
        <w:t xml:space="preserve">Response: </w:t>
      </w:r>
      <w:r>
        <w:t>We agree and clarified this point in the revised text. The manuscript now states explicitly that the ligand–receptor inference analyses were treated as supplementary downstream analyses rather than as a primary cross-cohort validation layer, and we revised the Results to avoid implying a broader evidentiary role than warranted. More specifically, we chose not to retain ligand–receptor inference as a major validation or discovery-support layer in the revised manuscript because such analyses are more assumption-sensitive and more indirect than the retained donor-level and program-level evidence. The revised manuscript therefore prioritizes the analyses that most directly support the central conclusion, rather than expanding the main text with ancillary signaling results that would be harder to interpret within the revised evidentiary framework. We also clarified the rationale for focusing on synapse-elimination-relevant pathways by briefly reiterating their biological relevance to microglia-dependent circuit remodeling in ASD, while keeping this discussion more restrained than in the earlier version.</w:t>
      </w:r>
    </w:p>
    <w:p>
      <w:pPr>
        <w:spacing w:before="0" w:after="120"/>
      </w:pPr>
      <w:r>
        <w:rPr>
          <w:b/>
        </w:rPr>
        <w:t xml:space="preserve">Location in revised manuscript: </w:t>
      </w:r>
      <w:r>
        <w:t>Results section on supplementary mechanistic analyses; Methods section describing downstream signaling analyses.</w:t>
      </w:r>
    </w:p>
    <w:p>
      <w:pPr>
        <w:pStyle w:val="Heading3"/>
        <w:spacing w:before="160" w:after="80"/>
      </w:pPr>
      <w:r>
        <w:rPr>
          <w:b/>
        </w:rPr>
        <w:t>Comment R2-19</w:t>
      </w:r>
    </w:p>
    <w:tbl>
      <w:tblPr>
        <w:tblW w:type="auto" w:w="0"/>
        <w:jc w:val="center"/>
        <w:tblLayout w:type="autofit"/>
        <w:tblLook w:firstColumn="1" w:firstRow="1" w:lastColumn="0" w:lastRow="0" w:noHBand="0" w:noVBand="1" w:val="04A0"/>
      </w:tblPr>
      <w:tblGrid>
        <w:gridCol w:w="9936"/>
      </w:tblGrid>
      <w:tr>
        <w:tc>
          <w:tcPr>
            <w:tcW w:type="dxa" w:w="9936"/>
            <w:shd w:fill="F4F6F8"/>
            <w:tcMar>
              <w:top w:w="60" w:type="dxa"/>
              <w:start w:w="90" w:type="dxa"/>
              <w:bottom w:w="60" w:type="dxa"/>
              <w:end w:w="90" w:type="dxa"/>
            </w:tcMar>
            <w:vAlign w:val="center"/>
          </w:tcPr>
          <w:p>
            <w:pPr>
              <w:spacing w:after="40"/>
            </w:pPr>
            <w:r>
              <w:rPr>
                <w:b/>
              </w:rPr>
              <w:t xml:space="preserve">Comment: </w:t>
            </w:r>
            <w:r>
              <w:rPr>
                <w:i/>
              </w:rPr>
              <w:t>Minor Comment 4. When discussing the translational relevance of eicosanoid pathway modulation, the authors should provide references, or identifier of trials on COX-2 inhibitors and leukotriene antagonists in ASD, if available, to substantiate these claims.</w:t>
            </w:r>
          </w:p>
        </w:tc>
      </w:tr>
    </w:tbl>
    <w:p>
      <w:pPr>
        <w:spacing w:before="80" w:after="40"/>
      </w:pPr>
      <w:r>
        <w:rPr>
          <w:b/>
        </w:rPr>
        <w:t xml:space="preserve">Response: </w:t>
      </w:r>
      <w:r>
        <w:t>We agree. In the revised manuscript, we moderated these translational statements and no longer rely on them as a major interpretive pillar of the paper. Where retained, translational discussion is now clearly framed as limited and hypothesis-generating rather than as evidence for therapeutic efficacy. This change was intended to prevent overstatement in an area where the primary data are not interventional.</w:t>
      </w:r>
    </w:p>
    <w:p>
      <w:pPr>
        <w:spacing w:before="0" w:after="120"/>
      </w:pPr>
      <w:r>
        <w:rPr>
          <w:b/>
        </w:rPr>
        <w:t xml:space="preserve">Location in revised manuscript: </w:t>
      </w:r>
      <w:r>
        <w:t>Discussion and Limitations.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