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D0AF" w14:textId="77777777" w:rsidR="000E2761" w:rsidRDefault="0087142B">
      <w:pPr>
        <w:spacing w:before="200" w:after="200"/>
        <w:rPr>
          <w:b/>
          <w:color w:val="333333"/>
          <w:sz w:val="28"/>
          <w:szCs w:val="28"/>
          <w:u w:val="single"/>
        </w:rPr>
      </w:pPr>
      <w:r>
        <w:rPr>
          <w:b/>
          <w:color w:val="333333"/>
          <w:sz w:val="28"/>
          <w:szCs w:val="28"/>
          <w:u w:val="single"/>
        </w:rPr>
        <w:t>Part 1: Simulink State-Flow Design Document</w:t>
      </w:r>
    </w:p>
    <w:p w14:paraId="31139E78" w14:textId="77777777" w:rsidR="000E2761" w:rsidRDefault="0087142B">
      <w:pPr>
        <w:spacing w:before="200" w:after="200"/>
        <w:rPr>
          <w:b/>
          <w:color w:val="333333"/>
          <w:sz w:val="24"/>
          <w:szCs w:val="24"/>
          <w:u w:val="single"/>
        </w:rPr>
      </w:pPr>
      <w:r>
        <w:rPr>
          <w:b/>
          <w:color w:val="333333"/>
          <w:sz w:val="24"/>
          <w:szCs w:val="24"/>
          <w:u w:val="single"/>
        </w:rPr>
        <w:t xml:space="preserve">Introduction to the task: </w:t>
      </w:r>
    </w:p>
    <w:p w14:paraId="58B333B7" w14:textId="77777777" w:rsidR="000E2761" w:rsidRDefault="0087142B">
      <w:pPr>
        <w:spacing w:before="200" w:after="200"/>
        <w:rPr>
          <w:color w:val="333333"/>
          <w:sz w:val="25"/>
          <w:szCs w:val="25"/>
          <w:highlight w:val="white"/>
        </w:rPr>
      </w:pPr>
      <w:r>
        <w:rPr>
          <w:color w:val="333333"/>
          <w:sz w:val="24"/>
          <w:szCs w:val="24"/>
        </w:rPr>
        <w:t xml:space="preserve">The project goal at hand is to create a virtual pacemaker that can sense and pace signals from the </w:t>
      </w:r>
      <w:proofErr w:type="gramStart"/>
      <w:r>
        <w:rPr>
          <w:color w:val="333333"/>
          <w:sz w:val="24"/>
          <w:szCs w:val="24"/>
        </w:rPr>
        <w:t>heart, and</w:t>
      </w:r>
      <w:proofErr w:type="gramEnd"/>
      <w:r>
        <w:rPr>
          <w:color w:val="333333"/>
          <w:sz w:val="24"/>
          <w:szCs w:val="24"/>
        </w:rPr>
        <w:t xml:space="preserve"> output the corresponding heart data to the end user. This task is implemented using the K64F board, as well as the virtual heart, and pacemaker sh</w:t>
      </w:r>
      <w:r>
        <w:rPr>
          <w:color w:val="333333"/>
          <w:sz w:val="24"/>
          <w:szCs w:val="24"/>
        </w:rPr>
        <w:t xml:space="preserve">ield. In order to achieve this, the project is split into 3 parts. Part 1 focuses on setting up a </w:t>
      </w:r>
      <w:proofErr w:type="spellStart"/>
      <w:r>
        <w:rPr>
          <w:color w:val="333333"/>
          <w:sz w:val="24"/>
          <w:szCs w:val="24"/>
        </w:rPr>
        <w:t>stateflow</w:t>
      </w:r>
      <w:proofErr w:type="spellEnd"/>
      <w:r>
        <w:rPr>
          <w:color w:val="333333"/>
          <w:sz w:val="24"/>
          <w:szCs w:val="24"/>
        </w:rPr>
        <w:t xml:space="preserve"> in </w:t>
      </w:r>
      <w:proofErr w:type="spellStart"/>
      <w:r>
        <w:rPr>
          <w:color w:val="333333"/>
          <w:sz w:val="24"/>
          <w:szCs w:val="24"/>
        </w:rPr>
        <w:t>Matlab</w:t>
      </w:r>
      <w:proofErr w:type="spellEnd"/>
      <w:r>
        <w:rPr>
          <w:color w:val="333333"/>
          <w:sz w:val="24"/>
          <w:szCs w:val="24"/>
        </w:rPr>
        <w:t xml:space="preserve"> Simulink in order to monitor and control data within different pacing and sensing modes of the heart. Since the project is still in the ea</w:t>
      </w:r>
      <w:r>
        <w:rPr>
          <w:color w:val="333333"/>
          <w:sz w:val="24"/>
          <w:szCs w:val="24"/>
        </w:rPr>
        <w:t xml:space="preserve">rly stages, only the </w:t>
      </w:r>
      <w:r>
        <w:rPr>
          <w:color w:val="333333"/>
          <w:sz w:val="25"/>
          <w:szCs w:val="25"/>
          <w:highlight w:val="white"/>
        </w:rPr>
        <w:t xml:space="preserve">AOO, VOO, AAI, and VVI modes are being implemented.  </w:t>
      </w:r>
    </w:p>
    <w:p w14:paraId="6DD3D050" w14:textId="77777777" w:rsidR="000E2761" w:rsidRDefault="000E2761">
      <w:pPr>
        <w:spacing w:before="200" w:after="200"/>
        <w:rPr>
          <w:color w:val="333333"/>
          <w:sz w:val="25"/>
          <w:szCs w:val="25"/>
          <w:highlight w:val="white"/>
        </w:rPr>
      </w:pPr>
    </w:p>
    <w:p w14:paraId="65D6011E" w14:textId="052D38AC" w:rsidR="000E2761" w:rsidRDefault="0087142B">
      <w:pPr>
        <w:spacing w:before="200" w:after="200"/>
        <w:rPr>
          <w:color w:val="333333"/>
        </w:rPr>
      </w:pPr>
      <w:r>
        <w:rPr>
          <w:color w:val="333333"/>
        </w:rPr>
        <w:t xml:space="preserve">Environment variables </w:t>
      </w:r>
    </w:p>
    <w:tbl>
      <w:tblPr>
        <w:tblStyle w:val="a"/>
        <w:tblW w:w="50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2511"/>
      </w:tblGrid>
      <w:tr w:rsidR="000E2761" w14:paraId="6CFF9AFE" w14:textId="77777777">
        <w:trPr>
          <w:trHeight w:val="46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F5C65F" w14:textId="77777777" w:rsidR="000E2761" w:rsidRDefault="0087142B">
            <w:pPr>
              <w:spacing w:before="260" w:after="260"/>
              <w:jc w:val="center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Controlled variable (aka programmable parameter)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C8089F" w14:textId="77777777" w:rsidR="000E2761" w:rsidRDefault="0087142B">
            <w:pPr>
              <w:spacing w:before="260" w:after="26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Value</w:t>
            </w:r>
          </w:p>
        </w:tc>
      </w:tr>
      <w:tr w:rsidR="000E2761" w14:paraId="1775C5F4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E9FD4F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Mode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A77D11" w14:textId="77777777" w:rsidR="000E2761" w:rsidRDefault="0087142B">
            <w:pPr>
              <w:spacing w:before="200" w:after="20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</w:t>
            </w:r>
            <w:r>
              <w:rPr>
                <w:color w:val="333333"/>
                <w:sz w:val="21"/>
                <w:szCs w:val="21"/>
                <w:highlight w:val="white"/>
              </w:rPr>
              <w:t>AOO, VOO, AAI, and VVI</w:t>
            </w:r>
          </w:p>
        </w:tc>
      </w:tr>
      <w:tr w:rsidR="000E2761" w14:paraId="166F7E25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37CDC7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Lower Rate Limit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DDFE3F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3ECCACF3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472150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Upper Rate Limit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D5EC08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2ED7241B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13A90A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Atrial amplitude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48B868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51165998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90EDBD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Ventricular amplitude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FD1B8A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2E396D90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77FB9A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Atrial pulse width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FC258D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2CDF1C0B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2CF0E5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lastRenderedPageBreak/>
              <w:t>Ventricular pulse width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227B41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5C76E919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43AB04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Atrial sensitivity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0463D6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3DCF25EF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D954B3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Ventricular sensitivity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933118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23CB0C0D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EF0EDA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VRP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19908B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2446B863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9A033F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ARP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7B6E64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3FCF1AE9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1C816F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PVARP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89E6681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2590BFAC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483164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Hysteresis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9B8D83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  <w:tr w:rsidR="000E2761" w14:paraId="5A9E1A0E" w14:textId="77777777">
        <w:trPr>
          <w:trHeight w:val="345"/>
        </w:trPr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15DE4F" w14:textId="77777777" w:rsidR="000E2761" w:rsidRDefault="0087142B">
            <w:pPr>
              <w:spacing w:before="260" w:after="260"/>
              <w:rPr>
                <w:color w:val="333333"/>
              </w:rPr>
            </w:pPr>
            <w:r>
              <w:rPr>
                <w:color w:val="333333"/>
              </w:rPr>
              <w:t>Rate Smoothing</w:t>
            </w:r>
          </w:p>
        </w:tc>
        <w:tc>
          <w:tcPr>
            <w:tcW w:w="25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FE58B7" w14:textId="77777777" w:rsidR="000E2761" w:rsidRDefault="000E2761">
            <w:pPr>
              <w:spacing w:before="260" w:after="260"/>
              <w:rPr>
                <w:color w:val="333333"/>
                <w:sz w:val="24"/>
                <w:szCs w:val="24"/>
              </w:rPr>
            </w:pPr>
          </w:p>
        </w:tc>
      </w:tr>
    </w:tbl>
    <w:p w14:paraId="7E5A600D" w14:textId="77777777" w:rsidR="000E2761" w:rsidRDefault="000E2761">
      <w:pPr>
        <w:spacing w:before="200" w:after="200"/>
        <w:rPr>
          <w:b/>
          <w:color w:val="333333"/>
          <w:sz w:val="24"/>
          <w:szCs w:val="24"/>
        </w:rPr>
      </w:pPr>
    </w:p>
    <w:p w14:paraId="6C23D22C" w14:textId="77777777" w:rsidR="000E2761" w:rsidRDefault="0087142B">
      <w:pPr>
        <w:spacing w:before="200" w:after="200"/>
        <w:rPr>
          <w:b/>
          <w:color w:val="333333"/>
          <w:sz w:val="24"/>
          <w:szCs w:val="24"/>
        </w:rPr>
      </w:pPr>
      <w:r>
        <w:rPr>
          <w:b/>
          <w:noProof/>
          <w:color w:val="333333"/>
          <w:sz w:val="24"/>
          <w:szCs w:val="24"/>
        </w:rPr>
        <w:drawing>
          <wp:inline distT="114300" distB="114300" distL="114300" distR="114300" wp14:anchorId="36D1A885" wp14:editId="243AC5D1">
            <wp:extent cx="5731200" cy="200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2E123" w14:textId="77777777" w:rsidR="000E2761" w:rsidRDefault="000E2761">
      <w:pPr>
        <w:spacing w:before="200" w:after="200"/>
        <w:rPr>
          <w:b/>
          <w:color w:val="333333"/>
          <w:sz w:val="24"/>
          <w:szCs w:val="24"/>
        </w:rPr>
      </w:pPr>
    </w:p>
    <w:p w14:paraId="73417ADA" w14:textId="77777777" w:rsidR="000E2761" w:rsidRDefault="000E2761">
      <w:pPr>
        <w:rPr>
          <w:b/>
        </w:rPr>
      </w:pPr>
    </w:p>
    <w:p w14:paraId="3212E0DA" w14:textId="12A40242" w:rsidR="000E2761" w:rsidRDefault="00603F04">
      <w:pPr>
        <w:spacing w:before="200" w:after="200"/>
        <w:rPr>
          <w:color w:val="333333"/>
        </w:rPr>
      </w:pPr>
      <w:r>
        <w:rPr>
          <w:color w:val="333333"/>
        </w:rPr>
        <w:lastRenderedPageBreak/>
        <w:t>Tabular expressions linking pacing modes with programmable parameters as well as State flow pin variables</w:t>
      </w:r>
    </w:p>
    <w:tbl>
      <w:tblPr>
        <w:tblStyle w:val="a0"/>
        <w:tblW w:w="9645" w:type="dxa"/>
        <w:tblInd w:w="-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65"/>
        <w:gridCol w:w="1950"/>
        <w:gridCol w:w="2070"/>
        <w:gridCol w:w="2220"/>
      </w:tblGrid>
      <w:tr w:rsidR="000E2761" w14:paraId="4E79322C" w14:textId="77777777">
        <w:trPr>
          <w:trHeight w:val="46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48D527" w14:textId="77777777" w:rsidR="000E2761" w:rsidRDefault="000E2761">
            <w:pPr>
              <w:spacing w:before="260" w:after="260"/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25F75C" w14:textId="77777777" w:rsidR="000E2761" w:rsidRDefault="0087142B">
            <w:pPr>
              <w:spacing w:before="260" w:after="26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Only AOO enabled</w:t>
            </w: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8F551F" w14:textId="77777777" w:rsidR="000E2761" w:rsidRDefault="0087142B">
            <w:pPr>
              <w:spacing w:before="260" w:after="26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Only VOO enabled</w:t>
            </w: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C151CA" w14:textId="77777777" w:rsidR="000E2761" w:rsidRDefault="0087142B">
            <w:pPr>
              <w:spacing w:before="260" w:after="26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Only AAI enabled</w:t>
            </w: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6B8FD2" w14:textId="77777777" w:rsidR="000E2761" w:rsidRDefault="0087142B">
            <w:pPr>
              <w:spacing w:before="260" w:after="26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Only VVI enabled</w:t>
            </w:r>
          </w:p>
        </w:tc>
      </w:tr>
      <w:tr w:rsidR="000E2761" w14:paraId="7078B163" w14:textId="77777777">
        <w:trPr>
          <w:trHeight w:val="46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869562" w14:textId="77777777" w:rsidR="000E2761" w:rsidRDefault="0087142B">
            <w:pPr>
              <w:spacing w:before="260" w:after="260"/>
              <w:jc w:val="center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Controlled variable (aka programmable parameter)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1D8A72" w14:textId="77777777" w:rsidR="000E2761" w:rsidRDefault="000E2761">
            <w:pPr>
              <w:spacing w:before="260" w:after="260"/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5519F1" w14:textId="77777777" w:rsidR="000E2761" w:rsidRDefault="000E2761">
            <w:pPr>
              <w:spacing w:before="260" w:after="260"/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BD12D49" w14:textId="77777777" w:rsidR="000E2761" w:rsidRDefault="000E2761">
            <w:pPr>
              <w:spacing w:before="260" w:after="260"/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2C31139" w14:textId="77777777" w:rsidR="000E2761" w:rsidRDefault="000E2761">
            <w:pPr>
              <w:spacing w:before="260" w:after="260"/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</w:tr>
      <w:tr w:rsidR="000E2761" w14:paraId="79D6ED41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3A2291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Lower Rate Limit</w:t>
            </w:r>
          </w:p>
          <w:p w14:paraId="0E4CFB68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p_lowrateInterval</w:t>
            </w:r>
            <w:proofErr w:type="spellEnd"/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A557962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 xml:space="preserve">Interval starts at an atrial sensed or paced event. In this case </w:t>
            </w:r>
            <w:proofErr w:type="gramStart"/>
            <w:r>
              <w:rPr>
                <w:color w:val="333333"/>
                <w:sz w:val="20"/>
                <w:szCs w:val="20"/>
                <w:highlight w:val="white"/>
              </w:rPr>
              <w:t>sensed, since</w:t>
            </w:r>
            <w:proofErr w:type="gramEnd"/>
            <w:r>
              <w:rPr>
                <w:color w:val="333333"/>
                <w:sz w:val="20"/>
                <w:szCs w:val="20"/>
                <w:highlight w:val="white"/>
              </w:rPr>
              <w:t xml:space="preserve"> there is no pacing.</w:t>
            </w:r>
          </w:p>
          <w:p w14:paraId="7C1E6BB5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  <w:highlight w:val="white"/>
              </w:rPr>
            </w:pPr>
          </w:p>
          <w:p w14:paraId="3616E70E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 xml:space="preserve">Starts when </w:t>
            </w:r>
            <w:proofErr w:type="spellStart"/>
            <w:r>
              <w:rPr>
                <w:color w:val="333333"/>
                <w:sz w:val="20"/>
                <w:szCs w:val="20"/>
                <w:highlight w:val="white"/>
              </w:rPr>
              <w:t>ATR_CMP_Detect</w:t>
            </w:r>
            <w:proofErr w:type="spellEnd"/>
            <w:r>
              <w:rPr>
                <w:color w:val="333333"/>
                <w:sz w:val="20"/>
                <w:szCs w:val="20"/>
                <w:highlight w:val="white"/>
              </w:rPr>
              <w:t xml:space="preserve"> is HIGH</w:t>
            </w: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7AAD7EF" w14:textId="77777777" w:rsidR="000E2761" w:rsidRDefault="0087142B">
            <w:pPr>
              <w:shd w:val="clear" w:color="auto" w:fill="FFFFFF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Interval starts at a ventricular sensed</w:t>
            </w:r>
          </w:p>
          <w:p w14:paraId="602AA91D" w14:textId="77777777" w:rsidR="000E2761" w:rsidRDefault="0087142B">
            <w:pPr>
              <w:shd w:val="clear" w:color="auto" w:fill="FFFFFF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or paced event.</w:t>
            </w:r>
          </w:p>
          <w:p w14:paraId="5FA6ADB4" w14:textId="77777777" w:rsidR="000E2761" w:rsidRDefault="0087142B">
            <w:pPr>
              <w:shd w:val="clear" w:color="auto" w:fill="FFFFFF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In this case </w:t>
            </w:r>
            <w:proofErr w:type="gramStart"/>
            <w:r>
              <w:rPr>
                <w:color w:val="333333"/>
                <w:sz w:val="20"/>
                <w:szCs w:val="20"/>
              </w:rPr>
              <w:t>sensed, since</w:t>
            </w:r>
            <w:proofErr w:type="gramEnd"/>
            <w:r>
              <w:rPr>
                <w:color w:val="333333"/>
                <w:sz w:val="20"/>
                <w:szCs w:val="20"/>
              </w:rPr>
              <w:t xml:space="preserve"> there is no pacing. </w:t>
            </w:r>
          </w:p>
          <w:p w14:paraId="1862A903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  <w:p w14:paraId="1BFA8AAB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 xml:space="preserve">Starts when </w:t>
            </w:r>
            <w:proofErr w:type="spellStart"/>
            <w:r>
              <w:rPr>
                <w:color w:val="333333"/>
                <w:sz w:val="20"/>
                <w:szCs w:val="20"/>
                <w:highlight w:val="white"/>
              </w:rPr>
              <w:t>VENT_CMP_Detect</w:t>
            </w:r>
            <w:proofErr w:type="spellEnd"/>
            <w:r>
              <w:rPr>
                <w:color w:val="333333"/>
                <w:sz w:val="20"/>
                <w:szCs w:val="20"/>
                <w:highlight w:val="white"/>
              </w:rPr>
              <w:t xml:space="preserve"> is HIGH</w:t>
            </w: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A68CE6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Interval starts at an atrial sensed or paced event</w:t>
            </w: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783809" w14:textId="77777777" w:rsidR="000E2761" w:rsidRDefault="0087142B">
            <w:pPr>
              <w:shd w:val="clear" w:color="auto" w:fill="FFFFFF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Interval starts at a ventricular sensed</w:t>
            </w:r>
          </w:p>
          <w:p w14:paraId="4C0A7B13" w14:textId="77777777" w:rsidR="000E2761" w:rsidRDefault="0087142B">
            <w:pPr>
              <w:shd w:val="clear" w:color="auto" w:fill="FFFFFF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or paced event</w:t>
            </w:r>
          </w:p>
          <w:p w14:paraId="49205E85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72EE4AD1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58C7C1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Upper Rate Limit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F41BBD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D91FB1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A190DC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3F0D4F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4851B765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AB919D4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Atrial amplitude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20B50D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CEA82A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161113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99DA20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77747D31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F57942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Ventricular amplitude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398B1B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9A5224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4E1CEC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DB86E84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0D0412C8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F3A654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Atrial pulse width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40C327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8B7274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B2AA54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3D26BD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09146AE3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512845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lastRenderedPageBreak/>
              <w:t>Ventricular pulse width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82BFF2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0AA1DF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F0C4B3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B6D4F4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01E50B0D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553C8F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Atrial sensitivity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013FB3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F57259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307C47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1C6F41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418364FA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E59DB5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Ventricular sensitivity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DFF422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BA5A2DA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65719D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AC48DDE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44E06936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C590CD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VRP</w:t>
            </w:r>
          </w:p>
          <w:p w14:paraId="7E50FB56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p_VRP</w:t>
            </w:r>
            <w:proofErr w:type="spellEnd"/>
          </w:p>
          <w:p w14:paraId="03C6FD8B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ln_sVRP</w:t>
            </w:r>
            <w:proofErr w:type="spellEnd"/>
          </w:p>
          <w:p w14:paraId="03F9752C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ln_pVRP</w:t>
            </w:r>
            <w:proofErr w:type="spellEnd"/>
          </w:p>
          <w:p w14:paraId="1410CAE4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ln_VRP</w:t>
            </w:r>
            <w:proofErr w:type="spellEnd"/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443F41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3B83D1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ln_VRP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set to high only if one of </w:t>
            </w:r>
            <w:proofErr w:type="spellStart"/>
            <w:r>
              <w:rPr>
                <w:color w:val="333333"/>
                <w:sz w:val="20"/>
                <w:szCs w:val="20"/>
              </w:rPr>
              <w:t>ln_sVRP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or </w:t>
            </w:r>
            <w:proofErr w:type="spellStart"/>
            <w:r>
              <w:rPr>
                <w:color w:val="333333"/>
                <w:sz w:val="20"/>
                <w:szCs w:val="20"/>
              </w:rPr>
              <w:t>ln_pVrp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is high. The s and p VRP are only high when the VRP is </w:t>
            </w:r>
            <w:proofErr w:type="gramStart"/>
            <w:r>
              <w:rPr>
                <w:color w:val="333333"/>
                <w:sz w:val="20"/>
                <w:szCs w:val="20"/>
              </w:rPr>
              <w:t>active  after</w:t>
            </w:r>
            <w:proofErr w:type="gramEnd"/>
            <w:r>
              <w:rPr>
                <w:color w:val="333333"/>
                <w:sz w:val="20"/>
                <w:szCs w:val="20"/>
              </w:rPr>
              <w:t xml:space="preserve"> a spontaneous .ventricular sense/pulse respectively  </w:t>
            </w: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3CD5A6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DD0A4A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ln_VRP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set to high only if one of </w:t>
            </w:r>
            <w:proofErr w:type="spellStart"/>
            <w:r>
              <w:rPr>
                <w:color w:val="333333"/>
                <w:sz w:val="20"/>
                <w:szCs w:val="20"/>
              </w:rPr>
              <w:t>ln_sVRP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or </w:t>
            </w:r>
            <w:proofErr w:type="spellStart"/>
            <w:r>
              <w:rPr>
                <w:color w:val="333333"/>
                <w:sz w:val="20"/>
                <w:szCs w:val="20"/>
              </w:rPr>
              <w:t>ln_pVrp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is high. The s and p VRP a</w:t>
            </w:r>
            <w:r>
              <w:rPr>
                <w:color w:val="333333"/>
                <w:sz w:val="20"/>
                <w:szCs w:val="20"/>
              </w:rPr>
              <w:t xml:space="preserve">re only high when the VRP is </w:t>
            </w:r>
            <w:proofErr w:type="gramStart"/>
            <w:r>
              <w:rPr>
                <w:color w:val="333333"/>
                <w:sz w:val="20"/>
                <w:szCs w:val="20"/>
              </w:rPr>
              <w:t>active  after</w:t>
            </w:r>
            <w:proofErr w:type="gramEnd"/>
            <w:r>
              <w:rPr>
                <w:color w:val="333333"/>
                <w:sz w:val="20"/>
                <w:szCs w:val="20"/>
              </w:rPr>
              <w:t xml:space="preserve"> a spontaneous .ventricular sense/pulse respectively</w:t>
            </w:r>
          </w:p>
        </w:tc>
      </w:tr>
      <w:tr w:rsidR="000E2761" w14:paraId="2B7926F2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311C86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ARP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7202DB4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8610F5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45542E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BB4600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42F23379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D7ED8D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PVARP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C1252F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BC4DE6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A053185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49814C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  <w:tr w:rsidR="000E2761" w14:paraId="1F4A8284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AD9454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Hysteresis</w:t>
            </w:r>
          </w:p>
          <w:p w14:paraId="7E203F84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p_hysteresis</w:t>
            </w:r>
            <w:proofErr w:type="spellEnd"/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631A576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Set to false for this part of the project</w:t>
            </w: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A5791C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Set to false for this part of the project</w:t>
            </w: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23E776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Set to false for this part of the project</w:t>
            </w: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736DDD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Set to false for this part of the project</w:t>
            </w:r>
          </w:p>
        </w:tc>
      </w:tr>
      <w:tr w:rsidR="000E2761" w14:paraId="74D6D640" w14:textId="77777777">
        <w:trPr>
          <w:trHeight w:val="34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87DC385" w14:textId="77777777" w:rsidR="000E2761" w:rsidRDefault="0087142B">
            <w:pPr>
              <w:spacing w:before="260" w:after="2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Rate Smoothing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BC27651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41F9AF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149CDE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D2D8E0" w14:textId="77777777" w:rsidR="000E2761" w:rsidRDefault="000E2761">
            <w:pPr>
              <w:spacing w:before="260" w:after="260"/>
              <w:rPr>
                <w:color w:val="333333"/>
                <w:sz w:val="20"/>
                <w:szCs w:val="20"/>
              </w:rPr>
            </w:pPr>
          </w:p>
        </w:tc>
      </w:tr>
    </w:tbl>
    <w:p w14:paraId="70E63D06" w14:textId="77777777" w:rsidR="000E2761" w:rsidRDefault="000E2761">
      <w:pPr>
        <w:spacing w:before="200" w:after="200"/>
        <w:rPr>
          <w:b/>
          <w:color w:val="333333"/>
          <w:sz w:val="24"/>
          <w:szCs w:val="24"/>
        </w:rPr>
      </w:pPr>
    </w:p>
    <w:p w14:paraId="4BBFFF0C" w14:textId="77777777" w:rsidR="000E2761" w:rsidRDefault="000E2761">
      <w:pPr>
        <w:rPr>
          <w:b/>
        </w:rPr>
      </w:pPr>
    </w:p>
    <w:p w14:paraId="1FA8508B" w14:textId="77777777" w:rsidR="000E2761" w:rsidRDefault="000E2761">
      <w:pPr>
        <w:rPr>
          <w:b/>
        </w:rPr>
      </w:pPr>
    </w:p>
    <w:p w14:paraId="1726AE87" w14:textId="77777777" w:rsidR="000E2761" w:rsidRDefault="000E2761">
      <w:pPr>
        <w:rPr>
          <w:b/>
        </w:rPr>
      </w:pPr>
    </w:p>
    <w:p w14:paraId="0314CC5C" w14:textId="77777777" w:rsidR="000E2761" w:rsidRDefault="0087142B">
      <w:pPr>
        <w:spacing w:before="200" w:after="200"/>
        <w:rPr>
          <w:b/>
          <w:color w:val="333333"/>
          <w:sz w:val="24"/>
          <w:szCs w:val="24"/>
          <w:u w:val="single"/>
        </w:rPr>
      </w:pPr>
      <w:r>
        <w:rPr>
          <w:b/>
          <w:color w:val="333333"/>
          <w:sz w:val="24"/>
          <w:szCs w:val="24"/>
          <w:u w:val="single"/>
        </w:rPr>
        <w:t>Likely requirement changes</w:t>
      </w:r>
    </w:p>
    <w:p w14:paraId="4FF0A1D0" w14:textId="68C8B336" w:rsidR="000E2761" w:rsidRDefault="0087142B">
      <w:pPr>
        <w:spacing w:before="200" w:after="2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 later stages of the project</w:t>
      </w:r>
      <w:r w:rsidR="00603F04">
        <w:rPr>
          <w:color w:val="333333"/>
          <w:sz w:val="24"/>
          <w:szCs w:val="24"/>
        </w:rPr>
        <w:t>…</w:t>
      </w:r>
    </w:p>
    <w:p w14:paraId="5D7C91D6" w14:textId="77777777" w:rsidR="000E2761" w:rsidRDefault="0087142B">
      <w:pPr>
        <w:spacing w:before="200" w:after="200"/>
        <w:rPr>
          <w:b/>
          <w:color w:val="333333"/>
          <w:sz w:val="24"/>
          <w:szCs w:val="24"/>
          <w:u w:val="single"/>
        </w:rPr>
      </w:pPr>
      <w:r>
        <w:rPr>
          <w:b/>
          <w:color w:val="333333"/>
          <w:sz w:val="24"/>
          <w:szCs w:val="24"/>
          <w:u w:val="single"/>
        </w:rPr>
        <w:t>Design decisions that will change in the future</w:t>
      </w:r>
    </w:p>
    <w:p w14:paraId="0EF3B774" w14:textId="77777777" w:rsidR="000E2761" w:rsidRDefault="0087142B">
      <w:pPr>
        <w:spacing w:before="200" w:after="200"/>
        <w:rPr>
          <w:b/>
        </w:rPr>
      </w:pPr>
      <w:r>
        <w:rPr>
          <w:b/>
          <w:color w:val="333333"/>
          <w:sz w:val="24"/>
          <w:szCs w:val="24"/>
        </w:rPr>
        <w:t>Note: Additional testing document will be provided with testing strategies and result</w:t>
      </w:r>
    </w:p>
    <w:sectPr w:rsidR="000E27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61"/>
    <w:rsid w:val="000E2761"/>
    <w:rsid w:val="00603F04"/>
    <w:rsid w:val="0087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6F5E"/>
  <w15:docId w15:val="{BFE69396-FCDD-4784-9153-5498EB38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 Samardzic</cp:lastModifiedBy>
  <cp:revision>2</cp:revision>
  <dcterms:created xsi:type="dcterms:W3CDTF">2020-10-16T20:27:00Z</dcterms:created>
  <dcterms:modified xsi:type="dcterms:W3CDTF">2020-10-16T20:27:00Z</dcterms:modified>
</cp:coreProperties>
</file>