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C63C7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C63C7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C63C7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C63C79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0B6A4EE5" w14:textId="77777777" w:rsidR="0003228A" w:rsidRDefault="0003228A" w:rsidP="00A90800">
      <w:pPr>
        <w:pStyle w:val="Heading1"/>
      </w:pPr>
    </w:p>
    <w:p w14:paraId="69DCC9FC" w14:textId="356C00E0" w:rsidR="00764FC1" w:rsidRDefault="000B07AA" w:rsidP="00A90800">
      <w:pPr>
        <w:pStyle w:val="Heading1"/>
      </w:pPr>
      <w:r>
        <w:t>Introduction</w:t>
      </w:r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lastRenderedPageBreak/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lastRenderedPageBreak/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51C30F8A" w14:textId="77777777" w:rsidR="005F2EAE" w:rsidRDefault="005F2EAE" w:rsidP="005F2EAE">
      <w:pPr>
        <w:pStyle w:val="Heading3"/>
        <w:keepNext w:val="0"/>
        <w:keepLines w:val="0"/>
      </w:pPr>
      <w:r>
        <w:t>State Transitions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7" w:name="_Toc54178027"/>
      <w:r>
        <w:lastRenderedPageBreak/>
        <w:t>State Transitions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C63C79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lastRenderedPageBreak/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lastRenderedPageBreak/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BBD2C" w14:textId="77777777" w:rsidR="00FB5FEE" w:rsidRDefault="00FB5FEE" w:rsidP="006A4676">
      <w:r>
        <w:separator/>
      </w:r>
    </w:p>
  </w:endnote>
  <w:endnote w:type="continuationSeparator" w:id="0">
    <w:p w14:paraId="240B4C07" w14:textId="77777777" w:rsidR="00FB5FEE" w:rsidRDefault="00FB5FEE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3249A" w14:textId="77777777" w:rsidR="00FB5FEE" w:rsidRDefault="00FB5FEE" w:rsidP="006A4676">
      <w:r>
        <w:separator/>
      </w:r>
    </w:p>
  </w:footnote>
  <w:footnote w:type="continuationSeparator" w:id="0">
    <w:p w14:paraId="0F9018E0" w14:textId="77777777" w:rsidR="00FB5FEE" w:rsidRDefault="00FB5FEE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75DE6"/>
    <w:rsid w:val="00F764BD"/>
    <w:rsid w:val="00FB5FEE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48</cp:revision>
  <cp:lastPrinted>2020-10-16T19:54:00Z</cp:lastPrinted>
  <dcterms:created xsi:type="dcterms:W3CDTF">2020-10-16T18:28:00Z</dcterms:created>
  <dcterms:modified xsi:type="dcterms:W3CDTF">2020-10-23T01:45:00Z</dcterms:modified>
</cp:coreProperties>
</file>