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85791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85791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8579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857914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lastRenderedPageBreak/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3" w:name="_Toc54296132"/>
      <w:r>
        <w:t>Input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4" w:name="_Toc54296133"/>
      <w:r>
        <w:t>Constant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lastRenderedPageBreak/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5" w:name="_Toc54296134"/>
      <w:r>
        <w:t>Controlled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6" w:name="_Toc54296135"/>
      <w:r>
        <w:t>Internal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7" w:name="_Toc54296136"/>
      <w:r>
        <w:t>Output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lastRenderedPageBreak/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8" w:name="_Toc54296137"/>
      <w:r>
        <w:t>Modes</w:t>
      </w:r>
      <w:bookmarkEnd w:id="8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9" w:name="_Toc54296138"/>
      <w:r>
        <w:t>AOO</w:t>
      </w:r>
      <w:bookmarkEnd w:id="9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10" w:name="_Toc54296139"/>
      <w:r>
        <w:t>Variables</w:t>
      </w:r>
      <w:bookmarkEnd w:id="10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A22853">
        <w:tc>
          <w:tcPr>
            <w:tcW w:w="3116" w:type="dxa"/>
            <w:vAlign w:val="center"/>
          </w:tcPr>
          <w:p w14:paraId="5BFC15BA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A22853">
        <w:tc>
          <w:tcPr>
            <w:tcW w:w="3116" w:type="dxa"/>
            <w:vAlign w:val="center"/>
          </w:tcPr>
          <w:p w14:paraId="0790BE41" w14:textId="77777777" w:rsidR="00CC2C1D" w:rsidRPr="00CC2C1D" w:rsidRDefault="00CC2C1D" w:rsidP="00A22853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A22853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A22853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11" w:name="_Toc54296140"/>
      <w:r>
        <w:t>Requirements</w:t>
      </w:r>
      <w:bookmarkEnd w:id="11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2" w:name="_Toc54296142"/>
      <w:r>
        <w:t>State Transitions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3" w:name="_Toc54296143"/>
      <w:r>
        <w:t>Design details</w:t>
      </w:r>
      <w:bookmarkEnd w:id="13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4" w:name="_Toc54296144"/>
      <w:r>
        <w:t>Testing</w:t>
      </w:r>
      <w:bookmarkEnd w:id="14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5" w:name="_Toc54296145"/>
      <w:r>
        <w:t>VOO</w:t>
      </w:r>
      <w:bookmarkEnd w:id="15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6" w:name="_Toc54296146"/>
      <w:r>
        <w:t>Variables</w:t>
      </w:r>
      <w:bookmarkEnd w:id="16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7" w:name="_Toc54296147"/>
      <w:r>
        <w:t>Requirements</w:t>
      </w:r>
      <w:bookmarkEnd w:id="17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8" w:name="_Toc54296148"/>
      <w:r>
        <w:lastRenderedPageBreak/>
        <w:t>State Transitions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9" w:name="_Toc54296149"/>
      <w:r>
        <w:t>Design details</w:t>
      </w:r>
      <w:bookmarkEnd w:id="19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20" w:name="_Toc54296150"/>
      <w:r>
        <w:t>Testing</w:t>
      </w:r>
      <w:bookmarkEnd w:id="20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1" w:name="_Toc54296151"/>
      <w:r>
        <w:t>AAI</w:t>
      </w:r>
      <w:bookmarkEnd w:id="21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2" w:name="_Toc54296152"/>
      <w:r>
        <w:t>Variables</w:t>
      </w:r>
      <w:bookmarkEnd w:id="22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3" w:name="_Toc54296153"/>
      <w:r>
        <w:t>Requirements</w:t>
      </w:r>
      <w:bookmarkEnd w:id="23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4" w:name="_Toc54296154"/>
      <w:r>
        <w:t>State Transitions</w:t>
      </w:r>
      <w:bookmarkEnd w:id="24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5" w:name="_Toc54296155"/>
      <w:r>
        <w:t>Design details</w:t>
      </w:r>
      <w:bookmarkEnd w:id="25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6" w:name="_Toc54296156"/>
      <w:r>
        <w:t>Testing</w:t>
      </w:r>
      <w:bookmarkEnd w:id="26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7" w:name="_Toc54296157"/>
      <w:r>
        <w:t>VVI</w:t>
      </w:r>
      <w:bookmarkEnd w:id="27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8" w:name="_Toc54296158"/>
      <w:r>
        <w:t>Variables</w:t>
      </w:r>
      <w:bookmarkEnd w:id="28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lastRenderedPageBreak/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9" w:name="_Toc54296159"/>
      <w:r>
        <w:t>Initial Values</w:t>
      </w:r>
      <w:bookmarkEnd w:id="29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30" w:name="_Toc54296160"/>
      <w:r>
        <w:t>Requirements</w:t>
      </w:r>
      <w:bookmarkEnd w:id="30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857914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31" w:name="_Toc54296161"/>
      <w:r>
        <w:t>State Transitions</w:t>
      </w:r>
      <w:bookmarkEnd w:id="3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2" w:name="_Toc54296162"/>
      <w:r>
        <w:t>State</w:t>
      </w:r>
      <w:r w:rsidR="00DC370A">
        <w:t xml:space="preserve"> details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3" w:name="_Toc54296163"/>
      <w:r>
        <w:t>Testing</w:t>
      </w:r>
      <w:bookmarkEnd w:id="33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FC08B" w14:textId="77777777" w:rsidR="00857914" w:rsidRDefault="00857914" w:rsidP="006A4676">
      <w:r>
        <w:separator/>
      </w:r>
    </w:p>
  </w:endnote>
  <w:endnote w:type="continuationSeparator" w:id="0">
    <w:p w14:paraId="5964DB99" w14:textId="77777777" w:rsidR="00857914" w:rsidRDefault="00857914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5436A" w14:textId="77777777" w:rsidR="00857914" w:rsidRDefault="00857914" w:rsidP="006A4676">
      <w:r>
        <w:separator/>
      </w:r>
    </w:p>
  </w:footnote>
  <w:footnote w:type="continuationSeparator" w:id="0">
    <w:p w14:paraId="7F7D7CE5" w14:textId="77777777" w:rsidR="00857914" w:rsidRDefault="00857914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F2440"/>
    <w:rsid w:val="00516388"/>
    <w:rsid w:val="00542F0C"/>
    <w:rsid w:val="0055437A"/>
    <w:rsid w:val="005554D8"/>
    <w:rsid w:val="00581EC6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57914"/>
    <w:rsid w:val="00891AA3"/>
    <w:rsid w:val="008B6E68"/>
    <w:rsid w:val="008D6127"/>
    <w:rsid w:val="00914F98"/>
    <w:rsid w:val="009237B7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51</cp:revision>
  <cp:lastPrinted>2020-10-16T19:54:00Z</cp:lastPrinted>
  <dcterms:created xsi:type="dcterms:W3CDTF">2020-10-16T18:28:00Z</dcterms:created>
  <dcterms:modified xsi:type="dcterms:W3CDTF">2020-10-23T15:39:00Z</dcterms:modified>
</cp:coreProperties>
</file>