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06DF7">
      <w:pPr>
        <w:spacing w:before="0" w:after="0" w:line="360" w:lineRule="auto"/>
      </w:pPr>
    </w:p>
    <w:p w14:paraId="2A6C09FE">
      <w:pPr>
        <w:spacing w:before="0" w:after="0" w:line="360" w:lineRule="auto"/>
      </w:pPr>
    </w:p>
    <w:p w14:paraId="127FD19C">
      <w:pPr>
        <w:spacing w:before="0" w:after="0" w:line="360" w:lineRule="auto"/>
      </w:pPr>
    </w:p>
    <w:p w14:paraId="162B0482">
      <w:pPr>
        <w:spacing w:before="0" w:after="0" w:line="360" w:lineRule="auto"/>
      </w:pPr>
    </w:p>
    <w:p w14:paraId="2424E72D">
      <w:pPr>
        <w:spacing w:before="0" w:after="80" w:line="360" w:lineRule="auto"/>
        <w:jc w:val="center"/>
      </w:pPr>
      <w:r>
        <w:rPr>
          <w:rFonts w:ascii="Times New Roman" w:hAnsi="Times New Roman" w:eastAsia="Times New Roman"/>
          <w:b/>
          <w:sz w:val="36"/>
        </w:rPr>
        <w:t>Global BA Insights</w:t>
      </w:r>
    </w:p>
    <w:p w14:paraId="234E4A4C">
      <w:pPr>
        <w:spacing w:before="0" w:after="320" w:line="360" w:lineRule="auto"/>
        <w:jc w:val="center"/>
      </w:pPr>
      <w:r>
        <w:rPr>
          <w:rFonts w:ascii="Times New Roman" w:hAnsi="Times New Roman" w:eastAsia="Times New Roman"/>
          <w:b/>
          <w:sz w:val="28"/>
        </w:rPr>
        <w:t>Comparing Business Analyst Job Requirements Across Four Markets</w:t>
      </w:r>
    </w:p>
    <w:p w14:paraId="5B7DED06">
      <w:pPr>
        <w:spacing w:before="0" w:after="320" w:line="360" w:lineRule="auto"/>
        <w:jc w:val="center"/>
      </w:pPr>
      <w:r>
        <w:rPr>
          <w:rFonts w:ascii="Times New Roman" w:hAnsi="Times New Roman" w:eastAsia="Times New Roman"/>
          <w:b w:val="0"/>
          <w:sz w:val="24"/>
        </w:rPr>
        <w:t>MGS4701 — Track 2 Project Brief</w:t>
      </w:r>
    </w:p>
    <w:p w14:paraId="06E47093">
      <w:pPr>
        <w:spacing w:before="0" w:after="40" w:line="360" w:lineRule="auto"/>
        <w:jc w:val="center"/>
      </w:pPr>
      <w:r>
        <w:rPr>
          <w:rFonts w:ascii="Times New Roman" w:hAnsi="Times New Roman" w:eastAsia="Times New Roman"/>
          <w:b/>
          <w:sz w:val="24"/>
        </w:rPr>
        <w:t>Team Members</w:t>
      </w:r>
    </w:p>
    <w:p w14:paraId="63125702">
      <w:pPr>
        <w:spacing w:before="0" w:after="10" w:line="360" w:lineRule="auto"/>
        <w:jc w:val="center"/>
      </w:pPr>
      <w:r>
        <w:rPr>
          <w:rFonts w:ascii="Times New Roman" w:hAnsi="Times New Roman" w:eastAsia="Times New Roman"/>
          <w:b w:val="0"/>
          <w:sz w:val="24"/>
        </w:rPr>
        <w:t>Member A</w:t>
      </w:r>
      <w:r>
        <w:rPr>
          <w:rFonts w:hint="eastAsia" w:eastAsia="宋体"/>
          <w:b w:val="0"/>
          <w:sz w:val="24"/>
          <w:lang w:val="en-US" w:eastAsia="zh-CN"/>
        </w:rPr>
        <w:t xml:space="preserve"> </w:t>
      </w:r>
      <w:r>
        <w:rPr>
          <w:rFonts w:ascii="Segoe UI" w:hAnsi="Segoe UI" w:eastAsia="Segoe UI" w:cs="Segoe UI"/>
          <w:i w:val="0"/>
          <w:iCs w:val="0"/>
          <w:caps w:val="0"/>
          <w:color w:val="1F2328"/>
          <w:spacing w:val="0"/>
          <w:sz w:val="24"/>
          <w:szCs w:val="24"/>
          <w:shd w:val="clear" w:fill="FFFFFF"/>
        </w:rPr>
        <w:t>Rongkai Liu</w:t>
      </w:r>
      <w:r>
        <w:rPr>
          <w:rFonts w:ascii="Times New Roman" w:hAnsi="Times New Roman" w:eastAsia="Times New Roman"/>
          <w:b w:val="0"/>
          <w:sz w:val="24"/>
        </w:rPr>
        <w:t xml:space="preserve"> — Data Collection Lead</w:t>
      </w:r>
    </w:p>
    <w:p w14:paraId="754A7B84">
      <w:pPr>
        <w:spacing w:before="0" w:after="10" w:line="360" w:lineRule="auto"/>
        <w:jc w:val="center"/>
      </w:pPr>
      <w:r>
        <w:rPr>
          <w:rFonts w:ascii="Times New Roman" w:hAnsi="Times New Roman" w:eastAsia="Times New Roman"/>
          <w:b w:val="0"/>
          <w:sz w:val="24"/>
        </w:rPr>
        <w:t xml:space="preserve">Member B </w:t>
      </w:r>
      <w:r>
        <w:rPr>
          <w:rFonts w:ascii="Segoe UI" w:hAnsi="Segoe UI" w:eastAsia="Segoe UI" w:cs="Segoe UI"/>
          <w:i w:val="0"/>
          <w:iCs w:val="0"/>
          <w:caps w:val="0"/>
          <w:color w:val="1F2328"/>
          <w:spacing w:val="0"/>
          <w:sz w:val="24"/>
          <w:szCs w:val="24"/>
          <w:shd w:val="clear" w:fill="FFFFFF"/>
        </w:rPr>
        <w:t>Bingding Liu</w:t>
      </w:r>
      <w:r>
        <w:rPr>
          <w:rFonts w:hint="eastAsia" w:ascii="Segoe UI" w:hAnsi="Segoe UI" w:eastAsia="宋体" w:cs="Segoe UI"/>
          <w:i w:val="0"/>
          <w:iCs w:val="0"/>
          <w:caps w:val="0"/>
          <w:color w:val="1F2328"/>
          <w:spacing w:val="0"/>
          <w:sz w:val="24"/>
          <w:szCs w:val="24"/>
          <w:shd w:val="clear" w:fill="FFFFFF"/>
          <w:lang w:val="en-US" w:eastAsia="zh-CN"/>
        </w:rPr>
        <w:t xml:space="preserve"> </w:t>
      </w:r>
      <w:r>
        <w:rPr>
          <w:rFonts w:ascii="Times New Roman" w:hAnsi="Times New Roman" w:eastAsia="Times New Roman"/>
          <w:b w:val="0"/>
          <w:sz w:val="24"/>
        </w:rPr>
        <w:t>— Data Cleaning &amp; Repository Lead</w:t>
      </w:r>
    </w:p>
    <w:p w14:paraId="43BD7CCC">
      <w:pPr>
        <w:spacing w:before="0" w:after="10" w:line="360" w:lineRule="auto"/>
        <w:jc w:val="center"/>
      </w:pPr>
      <w:r>
        <w:rPr>
          <w:rFonts w:ascii="Times New Roman" w:hAnsi="Times New Roman" w:eastAsia="Times New Roman"/>
          <w:b w:val="0"/>
          <w:sz w:val="24"/>
        </w:rPr>
        <w:t xml:space="preserve">Member C </w:t>
      </w:r>
      <w:r>
        <w:rPr>
          <w:rFonts w:ascii="Segoe UI" w:hAnsi="Segoe UI" w:eastAsia="Segoe UI" w:cs="Segoe UI"/>
          <w:i w:val="0"/>
          <w:iCs w:val="0"/>
          <w:caps w:val="0"/>
          <w:color w:val="1F2328"/>
          <w:spacing w:val="0"/>
          <w:sz w:val="24"/>
          <w:szCs w:val="24"/>
          <w:shd w:val="clear" w:fill="FFFFFF"/>
        </w:rPr>
        <w:t>Hao Gong</w:t>
      </w:r>
      <w:r>
        <w:rPr>
          <w:rFonts w:hint="eastAsia" w:ascii="Segoe UI" w:hAnsi="Segoe UI" w:eastAsia="宋体" w:cs="Segoe UI"/>
          <w:i w:val="0"/>
          <w:iCs w:val="0"/>
          <w:caps w:val="0"/>
          <w:color w:val="1F2328"/>
          <w:spacing w:val="0"/>
          <w:sz w:val="24"/>
          <w:szCs w:val="24"/>
          <w:shd w:val="clear" w:fill="FFFFFF"/>
          <w:lang w:val="en-US" w:eastAsia="zh-CN"/>
        </w:rPr>
        <w:t xml:space="preserve"> </w:t>
      </w:r>
      <w:r>
        <w:rPr>
          <w:rFonts w:ascii="Times New Roman" w:hAnsi="Times New Roman" w:eastAsia="Times New Roman"/>
          <w:b w:val="0"/>
          <w:sz w:val="24"/>
        </w:rPr>
        <w:t>— Data Analysis Lead</w:t>
      </w:r>
    </w:p>
    <w:p w14:paraId="1476C91E">
      <w:pPr>
        <w:spacing w:before="0" w:after="10" w:line="360" w:lineRule="auto"/>
        <w:jc w:val="center"/>
      </w:pPr>
      <w:r>
        <w:rPr>
          <w:rFonts w:ascii="Times New Roman" w:hAnsi="Times New Roman" w:eastAsia="Times New Roman"/>
          <w:b w:val="0"/>
          <w:sz w:val="24"/>
        </w:rPr>
        <w:t xml:space="preserve">Member D </w:t>
      </w:r>
      <w:r>
        <w:rPr>
          <w:rFonts w:ascii="Segoe UI" w:hAnsi="Segoe UI" w:eastAsia="Segoe UI" w:cs="Segoe UI"/>
          <w:i w:val="0"/>
          <w:iCs w:val="0"/>
          <w:caps w:val="0"/>
          <w:color w:val="1F2328"/>
          <w:spacing w:val="0"/>
          <w:sz w:val="24"/>
          <w:szCs w:val="24"/>
          <w:shd w:val="clear" w:fill="FFFFFF"/>
        </w:rPr>
        <w:t>Yuntao Liu</w:t>
      </w:r>
      <w:r>
        <w:rPr>
          <w:rFonts w:hint="eastAsia" w:ascii="Segoe UI" w:hAnsi="Segoe UI" w:eastAsia="宋体" w:cs="Segoe UI"/>
          <w:i w:val="0"/>
          <w:iCs w:val="0"/>
          <w:caps w:val="0"/>
          <w:color w:val="1F2328"/>
          <w:spacing w:val="0"/>
          <w:sz w:val="24"/>
          <w:szCs w:val="24"/>
          <w:shd w:val="clear" w:fill="FFFFFF"/>
          <w:lang w:val="en-US" w:eastAsia="zh-CN"/>
        </w:rPr>
        <w:t xml:space="preserve"> </w:t>
      </w:r>
      <w:r>
        <w:rPr>
          <w:rFonts w:ascii="Times New Roman" w:hAnsi="Times New Roman" w:eastAsia="Times New Roman"/>
          <w:b w:val="0"/>
          <w:sz w:val="24"/>
        </w:rPr>
        <w:t>— Writing &amp; Project Management Lead</w:t>
      </w:r>
    </w:p>
    <w:p w14:paraId="43C08D40">
      <w:pPr>
        <w:spacing w:before="0" w:after="100" w:line="360" w:lineRule="auto"/>
      </w:pPr>
    </w:p>
    <w:p w14:paraId="1A2979A9">
      <w:pPr>
        <w:spacing w:before="0" w:after="40" w:line="360" w:lineRule="auto"/>
        <w:jc w:val="center"/>
      </w:pPr>
      <w:r>
        <w:rPr>
          <w:rFonts w:ascii="Times New Roman" w:hAnsi="Times New Roman" w:eastAsia="Times New Roman"/>
          <w:b/>
          <w:sz w:val="24"/>
        </w:rPr>
        <w:t>Research Question</w:t>
      </w:r>
    </w:p>
    <w:p w14:paraId="14775228">
      <w:pPr>
        <w:spacing w:before="0" w:after="200" w:line="360" w:lineRule="auto"/>
        <w:jc w:val="center"/>
      </w:pPr>
      <w:r>
        <w:rPr>
          <w:rFonts w:ascii="Times New Roman" w:hAnsi="Times New Roman" w:eastAsia="Times New Roman"/>
          <w:b w:val="0"/>
          <w:sz w:val="24"/>
        </w:rPr>
        <w:t>Among Business Analyst job postings collected from LinkedIn in September 2026 for the United States, the United Kingdom, Singapore, and Hong Kong, what minimum experience and education thresholds are stated, and which technical skills—Excel, SQL, Python, R, Tableau, Power BI, and AI tools—are explicitly requested? How do these requirements differ across markets and, especially, between Technology and Financial Services?</w:t>
      </w:r>
    </w:p>
    <w:p w14:paraId="2A4E5B16">
      <w:pPr>
        <w:spacing w:before="0" w:after="40" w:line="360" w:lineRule="auto"/>
        <w:jc w:val="center"/>
      </w:pPr>
      <w:r>
        <w:rPr>
          <w:rFonts w:ascii="Times New Roman" w:hAnsi="Times New Roman" w:eastAsia="Times New Roman"/>
          <w:b/>
          <w:sz w:val="24"/>
        </w:rPr>
        <w:t>GitHub Repository</w:t>
      </w:r>
    </w:p>
    <w:p w14:paraId="6D9EAFCA">
      <w:pPr>
        <w:spacing w:before="0" w:after="0" w:line="360" w:lineRule="auto"/>
        <w:jc w:val="center"/>
      </w:pPr>
      <w:bookmarkStart w:id="0" w:name="_GoBack"/>
      <w:r>
        <w:rPr>
          <w:rFonts w:ascii="Times New Roman" w:hAnsi="Times New Roman" w:eastAsia="Times New Roman"/>
          <w:b w:val="0"/>
          <w:sz w:val="24"/>
        </w:rPr>
        <w:t>https://github.com/aoliyan7-boop/MGS4701-Track2-Group-Global-BA-Insights</w:t>
      </w:r>
    </w:p>
    <w:bookmarkEnd w:id="0"/>
    <w:p w14:paraId="2689A0B6">
      <w:r>
        <w:rPr>
          <w:rFonts w:ascii="Times New Roman" w:hAnsi="Times New Roman" w:eastAsia="Times New Roman"/>
          <w:sz w:val="24"/>
        </w:rPr>
        <w:br w:type="page"/>
      </w:r>
    </w:p>
    <w:p w14:paraId="30C39781">
      <w:pPr>
        <w:spacing w:before="80" w:after="40" w:line="360" w:lineRule="auto"/>
      </w:pPr>
      <w:r>
        <w:rPr>
          <w:rFonts w:ascii="Times New Roman" w:hAnsi="Times New Roman" w:eastAsia="Times New Roman"/>
          <w:b/>
          <w:sz w:val="24"/>
        </w:rPr>
        <w:t>1. Question and Audience</w:t>
      </w:r>
    </w:p>
    <w:p w14:paraId="5251048A">
      <w:pPr>
        <w:spacing w:before="0" w:after="40" w:line="360" w:lineRule="auto"/>
      </w:pPr>
      <w:r>
        <w:rPr>
          <w:rFonts w:ascii="Times New Roman" w:hAnsi="Times New Roman" w:eastAsia="Times New Roman"/>
          <w:b w:val="0"/>
          <w:sz w:val="24"/>
        </w:rPr>
        <w:t>This project narrows the Global BA Insights track to a September 2026 cross-sectional comparison of Business Analyst job requirements in four markets: the United States, the United Kingdom, Singapore, and Hong Kong. It focuses on observable requirements in job postings rather than causal effects, long-run trends, or the whole international BA labor market. The main outcomes are minimum experience, education threshold, and explicitly requested technical skills. Technology and Financial Services are the main industry comparison because they dominate the current pilot.</w:t>
      </w:r>
    </w:p>
    <w:p w14:paraId="2DF1BFE6">
      <w:pPr>
        <w:spacing w:before="0" w:after="40" w:line="360" w:lineRule="auto"/>
      </w:pPr>
      <w:r>
        <w:rPr>
          <w:rFonts w:ascii="Times New Roman" w:hAnsi="Times New Roman" w:eastAsia="Times New Roman"/>
          <w:b w:val="0"/>
          <w:sz w:val="24"/>
        </w:rPr>
        <w:t>The primary audience is a WKU Business Analytics senior preparing for an overseas master's program and a 2027 job search; a secondary audience is WKU career advisers. The results are intended to inform three decisions: which of the four markets to prioritize, whether Technology or Financial Services BA roles better match the student's preparation, and which skills to strengthen before graduation. Salary is treated only as secondary descriptive information because disclosure is incomplete and currencies differ.</w:t>
      </w:r>
    </w:p>
    <w:p w14:paraId="7645D8BD">
      <w:pPr>
        <w:spacing w:before="80" w:after="40" w:line="360" w:lineRule="auto"/>
      </w:pPr>
      <w:r>
        <w:rPr>
          <w:rFonts w:ascii="Times New Roman" w:hAnsi="Times New Roman" w:eastAsia="Times New Roman"/>
          <w:b/>
          <w:sz w:val="24"/>
        </w:rPr>
        <w:t>2. Sampling Frame</w:t>
      </w:r>
    </w:p>
    <w:p w14:paraId="2A6BC9C5">
      <w:pPr>
        <w:spacing w:before="0" w:after="40" w:line="360" w:lineRule="auto"/>
      </w:pPr>
      <w:r>
        <w:rPr>
          <w:rFonts w:ascii="Times New Roman" w:hAnsi="Times New Roman" w:eastAsia="Times New Roman"/>
          <w:b w:val="0"/>
          <w:sz w:val="24"/>
        </w:rPr>
        <w:t>Population and time window. The target population is Business Analyst and closely related BA job postings visible to applicants in the four target markets. The pilot contains 100 LinkedIn postings: 35 US, 25 UK, 20 Singapore, and 20 Hong Kong. The current file records collection dates from September 15 to September 22, 2026. Date_Posted is stored separately because a posting collected in September may have been posted earlier.</w:t>
      </w:r>
    </w:p>
    <w:p w14:paraId="57072E8E">
      <w:pPr>
        <w:spacing w:before="0" w:after="40" w:line="360" w:lineRule="auto"/>
      </w:pPr>
      <w:r>
        <w:rPr>
          <w:rFonts w:ascii="Times New Roman" w:hAnsi="Times New Roman" w:eastAsia="Times New Roman"/>
          <w:b w:val="0"/>
          <w:sz w:val="24"/>
        </w:rPr>
        <w:t>Search terms. The core query is "Business Analyst" combined with LinkedIn location filters for each market. Closely related titles such as Senior Business Analyst, IT Business Analyst, Technical Business Analyst, and Business Systems Analyst are retained when the job description is clearly within the BA role family. This keeps the sample focused without restricting it to one exact job title.</w:t>
      </w:r>
    </w:p>
    <w:p w14:paraId="182CAA0D">
      <w:pPr>
        <w:spacing w:before="0" w:after="20" w:line="360" w:lineRule="auto"/>
      </w:pPr>
      <w:r>
        <w:rPr>
          <w:rFonts w:ascii="Times New Roman" w:hAnsi="Times New Roman" w:eastAsia="Times New Roman"/>
          <w:b w:val="0"/>
          <w:sz w:val="24"/>
        </w:rPr>
        <w:t>Inclusion and exclusion rules:</w:t>
      </w:r>
    </w:p>
    <w:p w14:paraId="6B6B585C">
      <w:pPr>
        <w:spacing w:before="0" w:after="10" w:line="360" w:lineRule="auto"/>
        <w:ind w:left="317" w:hanging="259"/>
      </w:pPr>
      <w:r>
        <w:rPr>
          <w:rFonts w:ascii="Times New Roman" w:hAnsi="Times New Roman" w:eastAsia="Times New Roman"/>
          <w:sz w:val="24"/>
        </w:rPr>
        <w:t>• Include a posting only if it belongs to one of the four target markets and represents a Business Analyst or closely related BA role.</w:t>
      </w:r>
    </w:p>
    <w:p w14:paraId="4DE9F908">
      <w:pPr>
        <w:spacing w:before="0" w:after="10" w:line="360" w:lineRule="auto"/>
        <w:ind w:left="317" w:hanging="259"/>
      </w:pPr>
      <w:r>
        <w:rPr>
          <w:rFonts w:ascii="Times New Roman" w:hAnsi="Times New Roman" w:eastAsia="Times New Roman"/>
          <w:sz w:val="24"/>
        </w:rPr>
        <w:t>• Include only postings with enough job-description text to code the required variables; keep missing values when a requirement is not stated.</w:t>
      </w:r>
    </w:p>
    <w:p w14:paraId="02EED55D">
      <w:pPr>
        <w:spacing w:before="0" w:after="10" w:line="360" w:lineRule="auto"/>
        <w:ind w:left="317" w:hanging="259"/>
      </w:pPr>
      <w:r>
        <w:rPr>
          <w:rFonts w:ascii="Times New Roman" w:hAnsi="Times New Roman" w:eastAsia="Times New Roman"/>
          <w:sz w:val="24"/>
        </w:rPr>
        <w:t>• Remove duplicate vacancies so that one job is not counted more than once.</w:t>
      </w:r>
    </w:p>
    <w:p w14:paraId="2F90BA93">
      <w:pPr>
        <w:spacing w:before="0" w:after="10" w:line="360" w:lineRule="auto"/>
        <w:ind w:left="317" w:hanging="259"/>
      </w:pPr>
      <w:r>
        <w:rPr>
          <w:rFonts w:ascii="Times New Roman" w:hAnsi="Times New Roman" w:eastAsia="Times New Roman"/>
          <w:sz w:val="24"/>
        </w:rPr>
        <w:t>• Exclude roles clearly outside the BA scope and unusable/empty job descriptions.</w:t>
      </w:r>
    </w:p>
    <w:p w14:paraId="54F560FE">
      <w:pPr>
        <w:spacing w:before="0" w:after="10" w:line="360" w:lineRule="auto"/>
        <w:ind w:left="317" w:hanging="259"/>
      </w:pPr>
      <w:r>
        <w:rPr>
          <w:rFonts w:ascii="Times New Roman" w:hAnsi="Times New Roman" w:eastAsia="Times New Roman"/>
          <w:sz w:val="24"/>
        </w:rPr>
        <w:t>• Retain other industries in the file, but limit the main industry comparison to Technology and Financial Services because other groups are too small.</w:t>
      </w:r>
    </w:p>
    <w:p w14:paraId="1B1346B6">
      <w:pPr>
        <w:spacing w:before="0" w:after="40" w:line="360" w:lineRule="auto"/>
      </w:pPr>
      <w:r>
        <w:rPr>
          <w:rFonts w:ascii="Times New Roman" w:hAnsi="Times New Roman" w:eastAsia="Times New Roman"/>
          <w:b w:val="0"/>
          <w:sz w:val="24"/>
        </w:rPr>
        <w:t>Country sample sizes are unequal, so market comparisons will emphasize percentages rather than raw counts. The design is descriptive; pilot percentages will not be presented as population estimates.</w:t>
      </w:r>
    </w:p>
    <w:p w14:paraId="7E8B02D1">
      <w:pPr>
        <w:spacing w:before="80" w:after="40" w:line="360" w:lineRule="auto"/>
      </w:pPr>
      <w:r>
        <w:rPr>
          <w:rFonts w:ascii="Times New Roman" w:hAnsi="Times New Roman" w:eastAsia="Times New Roman"/>
          <w:b/>
          <w:sz w:val="24"/>
        </w:rPr>
        <w:t>3. Data Collection</w:t>
      </w:r>
    </w:p>
    <w:p w14:paraId="3787C8A4">
      <w:pPr>
        <w:spacing w:before="0" w:after="40" w:line="360" w:lineRule="auto"/>
      </w:pPr>
      <w:r>
        <w:rPr>
          <w:rFonts w:ascii="Times New Roman" w:hAnsi="Times New Roman" w:eastAsia="Times New Roman"/>
          <w:b w:val="0"/>
          <w:sz w:val="24"/>
        </w:rPr>
        <w:t>Primary source. LinkedIn is the primary source and one posting is one observation. The coding sheet records Job ID, country, city, title, company, industry, source, URL, posting and collection dates, salary when disclosed, minimum/maximum experience, education, seven skill indicators (Excel, SQL, Python, R, Tableau, Power BI, AI tools), job-description text, and collector.</w:t>
      </w:r>
    </w:p>
    <w:p w14:paraId="058CF6F6">
      <w:pPr>
        <w:spacing w:before="0" w:after="40" w:line="360" w:lineRule="auto"/>
      </w:pPr>
      <w:r>
        <w:rPr>
          <w:rFonts w:ascii="Times New Roman" w:hAnsi="Times New Roman" w:eastAsia="Times New Roman"/>
          <w:b w:val="0"/>
          <w:sz w:val="24"/>
        </w:rPr>
        <w:t>Documented first attempt. The first attempt has already reached the required pilot scale: 100 LinkedIn records have been collected and cleaned, and notebooks for descriptive statistics and visualization are available. After treating case variants as the same industry, the pilot contains 69 Technology and 28 Financial Services records, with only a few other/unknown cases. The initial skill counts are Excel 29%, SQL 21%, AI tools 12%, Power BI 9%, Tableau 4%, Python 2%, and R 0%. These figures demonstrate that the coding structure is usable; they are preliminary rather than final market estimates.</w:t>
      </w:r>
    </w:p>
    <w:p w14:paraId="215409D3">
      <w:pPr>
        <w:spacing w:before="0" w:after="40" w:line="360" w:lineRule="auto"/>
      </w:pPr>
      <w:r>
        <w:rPr>
          <w:rFonts w:ascii="Times New Roman" w:hAnsi="Times New Roman" w:eastAsia="Times New Roman"/>
          <w:b w:val="0"/>
          <w:sz w:val="24"/>
        </w:rPr>
        <w:t>Registered fallback. If LinkedIn becomes unworkable because of access restrictions, unstable pages, or insufficient new postings, the fallback source will be Indeed. The team will preserve the same markets, core search term, coding sheet, and inclusion/exclusion rules, and will record the source for every fallback observation so platforms can be distinguished in analysis.</w:t>
      </w:r>
    </w:p>
    <w:p w14:paraId="39C234E6">
      <w:pPr>
        <w:spacing w:before="80" w:after="40" w:line="360" w:lineRule="auto"/>
      </w:pPr>
      <w:r>
        <w:rPr>
          <w:rFonts w:ascii="Times New Roman" w:hAnsi="Times New Roman" w:eastAsia="Times New Roman"/>
          <w:b/>
          <w:sz w:val="24"/>
        </w:rPr>
        <w:t>4. Risk</w:t>
      </w:r>
    </w:p>
    <w:p w14:paraId="0D302EB2">
      <w:pPr>
        <w:spacing w:before="0" w:after="40" w:line="360" w:lineRule="auto"/>
      </w:pPr>
      <w:r>
        <w:rPr>
          <w:rFonts w:ascii="Times New Roman" w:hAnsi="Times New Roman" w:eastAsia="Times New Roman"/>
          <w:b w:val="0"/>
          <w:sz w:val="24"/>
        </w:rPr>
        <w:t>The project could fail if LinkedIn access changes, the sample becomes too small or unbalanced, job descriptions disappear, collectors apply the coding rules inconsistently, or key fields are frequently missing. A LinkedIn-only sample also creates platform bias. Our response is to preserve a reproducible copy of the data with URLs and collection dates, use one written collection protocol and data dictionary, keep missing values instead of guessing, compare markets mainly with percentages, and restrict industry claims to groups with enough observations. If LinkedIn becomes unusable, the team will use the registered Indeed fallback under the same rules and clearly label the source.</w:t>
      </w:r>
    </w:p>
    <w:p w14:paraId="4058DB9C">
      <w:pPr>
        <w:pageBreakBefore/>
        <w:spacing w:before="80" w:after="40" w:line="360" w:lineRule="auto"/>
      </w:pPr>
      <w:r>
        <w:rPr>
          <w:rFonts w:ascii="Times New Roman" w:hAnsi="Times New Roman" w:eastAsia="Times New Roman"/>
          <w:b/>
          <w:sz w:val="24"/>
        </w:rPr>
        <w:t>5. Division of Labor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0524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top"/>
          </w:tcPr>
          <w:p w14:paraId="54D25C10">
            <w:pPr>
              <w:spacing w:before="0" w:after="0" w:line="360" w:lineRule="auto"/>
            </w:pPr>
            <w:r>
              <w:rPr>
                <w:rFonts w:ascii="Times New Roman" w:hAnsi="Times New Roman" w:eastAsia="Times New Roman"/>
                <w:b/>
                <w:sz w:val="24"/>
              </w:rPr>
              <w:t>Member</w:t>
            </w:r>
          </w:p>
        </w:tc>
        <w:tc>
          <w:tcPr>
            <w:tcW w:w="3264" w:type="dxa"/>
            <w:vAlign w:val="top"/>
          </w:tcPr>
          <w:p w14:paraId="45C9BF6E">
            <w:pPr>
              <w:spacing w:before="0" w:after="0" w:line="360" w:lineRule="auto"/>
            </w:pPr>
            <w:r>
              <w:rPr>
                <w:rFonts w:ascii="Times New Roman" w:hAnsi="Times New Roman" w:eastAsia="Times New Roman"/>
                <w:b/>
                <w:sz w:val="24"/>
              </w:rPr>
              <w:t>Owner</w:t>
            </w:r>
          </w:p>
        </w:tc>
        <w:tc>
          <w:tcPr>
            <w:tcW w:w="3264" w:type="dxa"/>
            <w:vAlign w:val="top"/>
          </w:tcPr>
          <w:p w14:paraId="743A6B6F">
            <w:pPr>
              <w:spacing w:before="0" w:after="0" w:line="360" w:lineRule="auto"/>
            </w:pPr>
            <w:r>
              <w:rPr>
                <w:rFonts w:ascii="Times New Roman" w:hAnsi="Times New Roman" w:eastAsia="Times New Roman"/>
                <w:b/>
                <w:sz w:val="24"/>
              </w:rPr>
              <w:t>Main responsibility</w:t>
            </w:r>
          </w:p>
        </w:tc>
      </w:tr>
      <w:tr w14:paraId="0CA6D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top"/>
          </w:tcPr>
          <w:p w14:paraId="7B04E05E">
            <w:pPr>
              <w:spacing w:before="0" w:after="0" w:line="360" w:lineRule="auto"/>
            </w:pPr>
            <w:r>
              <w:rPr>
                <w:rFonts w:ascii="Times New Roman" w:hAnsi="Times New Roman" w:eastAsia="Times New Roman"/>
                <w:sz w:val="24"/>
              </w:rPr>
              <w:t>Member A</w:t>
            </w:r>
          </w:p>
        </w:tc>
        <w:tc>
          <w:tcPr>
            <w:tcW w:w="3264" w:type="dxa"/>
            <w:vAlign w:val="top"/>
          </w:tcPr>
          <w:p w14:paraId="4A844F19">
            <w:pPr>
              <w:spacing w:before="0" w:after="0" w:line="360" w:lineRule="auto"/>
            </w:pPr>
            <w:r>
              <w:rPr>
                <w:rFonts w:ascii="Times New Roman" w:hAnsi="Times New Roman" w:eastAsia="Times New Roman"/>
                <w:sz w:val="24"/>
              </w:rPr>
              <w:t>Collection</w:t>
            </w:r>
          </w:p>
        </w:tc>
        <w:tc>
          <w:tcPr>
            <w:tcW w:w="3264" w:type="dxa"/>
            <w:vAlign w:val="top"/>
          </w:tcPr>
          <w:p w14:paraId="393CF0CF">
            <w:pPr>
              <w:spacing w:before="0" w:after="0" w:line="360" w:lineRule="auto"/>
            </w:pPr>
            <w:r>
              <w:rPr>
                <w:rFonts w:ascii="Times New Roman" w:hAnsi="Times New Roman" w:eastAsia="Times New Roman"/>
                <w:sz w:val="24"/>
              </w:rPr>
              <w:t>Search strategy, inclusion/exclusion rules, collection protocol, and pilot collection.</w:t>
            </w:r>
          </w:p>
        </w:tc>
      </w:tr>
      <w:tr w14:paraId="501D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top"/>
          </w:tcPr>
          <w:p w14:paraId="6B2BFF93">
            <w:pPr>
              <w:spacing w:before="0" w:after="0" w:line="360" w:lineRule="auto"/>
            </w:pPr>
            <w:r>
              <w:rPr>
                <w:rFonts w:ascii="Times New Roman" w:hAnsi="Times New Roman" w:eastAsia="Times New Roman"/>
                <w:sz w:val="24"/>
              </w:rPr>
              <w:t>Member B</w:t>
            </w:r>
          </w:p>
        </w:tc>
        <w:tc>
          <w:tcPr>
            <w:tcW w:w="3264" w:type="dxa"/>
            <w:vAlign w:val="top"/>
          </w:tcPr>
          <w:p w14:paraId="6C5F766D">
            <w:pPr>
              <w:spacing w:before="0" w:after="0" w:line="360" w:lineRule="auto"/>
            </w:pPr>
            <w:r>
              <w:rPr>
                <w:rFonts w:ascii="Times New Roman" w:hAnsi="Times New Roman" w:eastAsia="Times New Roman"/>
                <w:sz w:val="24"/>
              </w:rPr>
              <w:t>Cleaning / Repository</w:t>
            </w:r>
          </w:p>
        </w:tc>
        <w:tc>
          <w:tcPr>
            <w:tcW w:w="3264" w:type="dxa"/>
            <w:vAlign w:val="top"/>
          </w:tcPr>
          <w:p w14:paraId="02B1C8F5">
            <w:pPr>
              <w:spacing w:before="0" w:after="0" w:line="360" w:lineRule="auto"/>
            </w:pPr>
            <w:r>
              <w:rPr>
                <w:rFonts w:ascii="Times New Roman" w:hAnsi="Times New Roman" w:eastAsia="Times New Roman"/>
                <w:sz w:val="24"/>
              </w:rPr>
              <w:t>Deduplication, missing values, coding, data dictionary, GitHub structure, README, and notebook organization.</w:t>
            </w:r>
          </w:p>
        </w:tc>
      </w:tr>
      <w:tr w14:paraId="66CB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top"/>
          </w:tcPr>
          <w:p w14:paraId="47F80BB2">
            <w:pPr>
              <w:spacing w:before="0" w:after="0" w:line="360" w:lineRule="auto"/>
            </w:pPr>
            <w:r>
              <w:rPr>
                <w:rFonts w:ascii="Times New Roman" w:hAnsi="Times New Roman" w:eastAsia="Times New Roman"/>
                <w:sz w:val="24"/>
              </w:rPr>
              <w:t>Member C</w:t>
            </w:r>
          </w:p>
        </w:tc>
        <w:tc>
          <w:tcPr>
            <w:tcW w:w="3264" w:type="dxa"/>
            <w:vAlign w:val="top"/>
          </w:tcPr>
          <w:p w14:paraId="6F0BA3ED">
            <w:pPr>
              <w:spacing w:before="0" w:after="0" w:line="360" w:lineRule="auto"/>
            </w:pPr>
            <w:r>
              <w:rPr>
                <w:rFonts w:ascii="Times New Roman" w:hAnsi="Times New Roman" w:eastAsia="Times New Roman"/>
                <w:sz w:val="24"/>
              </w:rPr>
              <w:t>Analysis</w:t>
            </w:r>
          </w:p>
        </w:tc>
        <w:tc>
          <w:tcPr>
            <w:tcW w:w="3264" w:type="dxa"/>
            <w:vAlign w:val="top"/>
          </w:tcPr>
          <w:p w14:paraId="031C19D3">
            <w:pPr>
              <w:spacing w:before="0" w:after="0" w:line="360" w:lineRule="auto"/>
            </w:pPr>
            <w:r>
              <w:rPr>
                <w:rFonts w:ascii="Times New Roman" w:hAnsi="Times New Roman" w:eastAsia="Times New Roman"/>
                <w:sz w:val="24"/>
              </w:rPr>
              <w:t>Descriptive statistics, visualizations, interpretation, and analysis notebooks.</w:t>
            </w:r>
          </w:p>
        </w:tc>
      </w:tr>
      <w:tr w14:paraId="1963B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top"/>
          </w:tcPr>
          <w:p w14:paraId="2A310906">
            <w:pPr>
              <w:spacing w:before="0" w:after="0" w:line="360" w:lineRule="auto"/>
            </w:pPr>
            <w:r>
              <w:rPr>
                <w:rFonts w:ascii="Times New Roman" w:hAnsi="Times New Roman" w:eastAsia="Times New Roman"/>
                <w:sz w:val="24"/>
              </w:rPr>
              <w:t>Member D</w:t>
            </w:r>
          </w:p>
        </w:tc>
        <w:tc>
          <w:tcPr>
            <w:tcW w:w="3264" w:type="dxa"/>
            <w:vAlign w:val="top"/>
          </w:tcPr>
          <w:p w14:paraId="502AA116">
            <w:pPr>
              <w:spacing w:before="0" w:after="0" w:line="360" w:lineRule="auto"/>
            </w:pPr>
            <w:r>
              <w:rPr>
                <w:rFonts w:ascii="Times New Roman" w:hAnsi="Times New Roman" w:eastAsia="Times New Roman"/>
                <w:sz w:val="24"/>
              </w:rPr>
              <w:t>Writing / Project Management</w:t>
            </w:r>
          </w:p>
        </w:tc>
        <w:tc>
          <w:tcPr>
            <w:tcW w:w="3264" w:type="dxa"/>
            <w:vAlign w:val="top"/>
          </w:tcPr>
          <w:p w14:paraId="3BDE3EE4">
            <w:pPr>
              <w:spacing w:before="0" w:after="0" w:line="360" w:lineRule="auto"/>
            </w:pPr>
            <w:r>
              <w:rPr>
                <w:rFonts w:ascii="Times New Roman" w:hAnsi="Times New Roman" w:eastAsia="Times New Roman"/>
                <w:sz w:val="24"/>
              </w:rPr>
              <w:t>Project Brief, AI Use Log, references, section integration, progress tracking, and final consistency check.</w:t>
            </w:r>
          </w:p>
        </w:tc>
      </w:tr>
    </w:tbl>
    <w:p w14:paraId="53196781">
      <w:pPr>
        <w:spacing w:before="80" w:after="40" w:line="360" w:lineRule="auto"/>
      </w:pPr>
      <w:r>
        <w:rPr>
          <w:rFonts w:ascii="Times New Roman" w:hAnsi="Times New Roman" w:eastAsia="Times New Roman"/>
          <w:b/>
          <w:sz w:val="24"/>
        </w:rPr>
        <w:t>6. AI Use Log and Repository Evidence</w:t>
      </w:r>
    </w:p>
    <w:p w14:paraId="342B4ADC">
      <w:pPr>
        <w:spacing w:before="0" w:after="40" w:line="360" w:lineRule="auto"/>
      </w:pPr>
      <w:r>
        <w:rPr>
          <w:rFonts w:ascii="Times New Roman" w:hAnsi="Times New Roman" w:eastAsia="Times New Roman"/>
          <w:b w:val="0"/>
          <w:sz w:val="24"/>
        </w:rPr>
        <w:t>AI use is documented in `docs/AI_Use_Log.md`, including the date, member, tool, task, how AI assisted, and how the output was checked. The team remains responsible for verifying every number, coding decision, interpretation, and final statement.</w:t>
      </w:r>
    </w:p>
    <w:p w14:paraId="6C370EA6">
      <w:pPr>
        <w:spacing w:before="0" w:after="40" w:line="360" w:lineRule="auto"/>
      </w:pPr>
      <w:r>
        <w:rPr>
          <w:rFonts w:ascii="Times New Roman" w:hAnsi="Times New Roman" w:eastAsia="Times New Roman"/>
          <w:b w:val="0"/>
          <w:sz w:val="24"/>
        </w:rPr>
        <w:t xml:space="preserve">By the deadline, the GitHub repository should contain the 100-record pilot dataset, the notebooks/code that produced the cleaned and analyzed data, the manual coding sheet/data dictionary, a written collection protocol, and a README stating what the data are, where they came from, when they were collected, and how to reproduce the pilot. </w:t>
      </w:r>
    </w:p>
    <w:p w14:paraId="5E9148F9">
      <w:pPr>
        <w:spacing w:before="0" w:after="40" w:line="360" w:lineRule="auto"/>
      </w:pPr>
      <w:r>
        <w:rPr>
          <w:rFonts w:ascii="Times New Roman" w:hAnsi="Times New Roman" w:eastAsia="Times New Roman"/>
          <w:b w:val="0"/>
          <w:sz w:val="24"/>
        </w:rPr>
        <w:t>Primary source/reference: LinkedIn job postings collected by the project team in September 2026.</w:t>
      </w:r>
    </w:p>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EB786D"/>
    <w:rsid w:val="6A8A75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1011</Words>
  <Characters>5910</Characters>
  <Lines>0</Lines>
  <Paragraphs>0</Paragraphs>
  <TotalTime>106</TotalTime>
  <ScaleCrop>false</ScaleCrop>
  <LinksUpToDate>false</LinksUpToDate>
  <CharactersWithSpaces>6871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我弟弟是小叮当</cp:lastModifiedBy>
  <dcterms:modified xsi:type="dcterms:W3CDTF">2026-09-29T02:59:23Z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eyJoZGlkIjoiM2Q4MThlNjQ3ZmI4NWJjNjc1NjliNzliMWFmYTI3MzMiLCJ1c2VySWQiOiI3NTU1OTQ2ODUifQ==</vt:lpwstr>
  </property>
  <property fmtid="{D5CDD505-2E9C-101B-9397-08002B2CF9AE}" pid="3" name="KSOProductBuildVer">
    <vt:lpwstr>2052-12.1.0.28505</vt:lpwstr>
  </property>
  <property fmtid="{D5CDD505-2E9C-101B-9397-08002B2CF9AE}" pid="4" name="ICV">
    <vt:lpwstr>90F0547DFF884F3D979D7F4ABBE93DD2_12</vt:lpwstr>
  </property>
</Properties>
</file>