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r>
        <w:rPr>
          <w:rFonts w:ascii="Times New Roman" w:hAnsi="Times New Roman"/>
          <w:sz w:val="22"/>
        </w:rPr>
        <w:t>Each quadrant comprises two information operators in sequence -- an entry operator and an exit operator -- that together produce the quadrant's function:</w:t>
      </w:r>
    </w:p>
    <w:p>
      <w:r>
        <w:rPr>
          <w:rFonts w:ascii="Times New Roman" w:hAnsi="Times New Roman"/>
          <w:sz w:val="22"/>
        </w:rPr>
        <w:t>Q1: Bind_in -&gt; Explore_in  (stabilize internally, then explore internally)</w:t>
        <w:br/>
      </w:r>
      <w:r>
        <w:rPr>
          <w:rFonts w:ascii="Times New Roman" w:hAnsi="Times New Roman"/>
          <w:sz w:val="22"/>
        </w:rPr>
        <w:t>Q2: Explore_out -&gt; Bind_in  (gather externally, then consolidate internally)</w:t>
        <w:br/>
      </w:r>
      <w:r>
        <w:rPr>
          <w:rFonts w:ascii="Times New Roman" w:hAnsi="Times New Roman"/>
          <w:sz w:val="22"/>
        </w:rPr>
        <w:t>Q3: Explore_in -&gt; Bind_out  (transform internally, then commit externally)</w:t>
        <w:br/>
      </w:r>
      <w:r>
        <w:rPr>
          <w:rFonts w:ascii="Times New Roman" w:hAnsi="Times New Roman"/>
          <w:sz w:val="22"/>
        </w:rPr>
        <w:t>Q4: Bind_out -&gt; Explore_out  (deploy externally, then propagate)</w:t>
        <w:br/>
      </w:r>
    </w:p>
    <w:p>
      <w:r>
        <w:rPr>
          <w:rFonts w:ascii="Times New Roman" w:hAnsi="Times New Roman"/>
          <w:sz w:val="22"/>
        </w:rPr>
        <w:t>The current empirical evidence validates the entry operator at each stage: Explore_out at Q2, Explore_in at Q3, and Bind_out at Q4. The exit operators and the within-quadrant transition dynamics remain open problems for future work.</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Bind_in (B_in): Internal binding and stabilization. The system forms a stable internal reference point. Measurable as revision rate decline, protocol stability, self-citation persistence.</w:t>
      </w:r>
    </w:p>
    <w:p>
      <w:pPr>
        <w:spacing w:after="60"/>
      </w:pPr>
      <w:r>
        <w:rPr>
          <w:rFonts w:ascii="Times New Roman" w:hAnsi="Times New Roman"/>
          <w:b w:val="0"/>
          <w:i w:val="0"/>
          <w:color w:val="000000"/>
          <w:sz w:val="22"/>
        </w:rPr>
        <w:t>• Explore_out (E_out): External exploration and coupling. The system scans and gathers from external sources. Measurable as cross-reference diversity, collaborator count, comment volume.</w:t>
      </w:r>
    </w:p>
    <w:p>
      <w:pPr>
        <w:spacing w:after="60"/>
      </w:pPr>
      <w:r>
        <w:rPr>
          <w:rFonts w:ascii="Times New Roman" w:hAnsi="Times New Roman"/>
          <w:b w:val="0"/>
          <w:i w:val="0"/>
          <w:color w:val="000000"/>
          <w:sz w:val="22"/>
        </w:rPr>
        <w:t>• Explore_in (E_in): Internal exploration and transformation. The system refines, narrows, and integrates internally. Measurable as text diff magnitude, outcome count reduction, coupling rate.</w:t>
      </w:r>
    </w:p>
    <w:p>
      <w:pPr>
        <w:spacing w:after="60"/>
      </w:pPr>
      <w:r>
        <w:rPr>
          <w:rFonts w:ascii="Times New Roman" w:hAnsi="Times New Roman"/>
          <w:b w:val="0"/>
          <w:i w:val="0"/>
          <w:color w:val="000000"/>
          <w:sz w:val="22"/>
        </w:rPr>
        <w:t>• Bind_out (B_out): External binding and commitment. The system commits irreversibly to an external boundary.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r>
              <w:t>EIL (Energy Integration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Energy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r>
              <w:t>Bind_in</w:t>
            </w:r>
          </w:p>
        </w:tc>
        <w:tc>
          <w:tcPr>
            <w:tcW w:type="dxa" w:w="1728"/>
          </w:tcPr>
          <w:p>
            <w:r>
              <w:t>B_in</w:t>
            </w:r>
          </w:p>
        </w:tc>
        <w:tc>
          <w:tcPr>
            <w:tcW w:type="dxa" w:w="1728"/>
          </w:tcPr>
          <w:p>
            <w:r>
              <w:t>Internal binding and stabilization. The system forms a stable internal reference point.</w:t>
            </w:r>
          </w:p>
        </w:tc>
        <w:tc>
          <w:tcPr>
            <w:tcW w:type="dxa" w:w="1728"/>
          </w:tcPr>
          <w:p>
            <w: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r>
              <w:t>Explore_out</w:t>
            </w:r>
          </w:p>
        </w:tc>
        <w:tc>
          <w:tcPr>
            <w:tcW w:type="dxa" w:w="1728"/>
          </w:tcPr>
          <w:p>
            <w:r>
              <w:t>E_out</w:t>
            </w:r>
          </w:p>
        </w:tc>
        <w:tc>
          <w:tcPr>
            <w:tcW w:type="dxa" w:w="1728"/>
          </w:tcPr>
          <w:p>
            <w:r>
              <w:t>External exploration and coupling. The system scans and gathers from external sources.</w:t>
            </w:r>
          </w:p>
        </w:tc>
        <w:tc>
          <w:tcPr>
            <w:tcW w:type="dxa" w:w="1728"/>
          </w:tcPr>
          <w:p>
            <w:r>
              <w:t>Cross-references, collaborator count, comment volume, facility count</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r>
              <w:t>Explore_in</w:t>
            </w:r>
          </w:p>
        </w:tc>
        <w:tc>
          <w:tcPr>
            <w:tcW w:type="dxa" w:w="1728"/>
          </w:tcPr>
          <w:p>
            <w:r>
              <w:t>E_in</w:t>
            </w:r>
          </w:p>
        </w:tc>
        <w:tc>
          <w:tcPr>
            <w:tcW w:type="dxa" w:w="1728"/>
          </w:tcPr>
          <w:p>
            <w:r>
              <w:t>Internal exploration and transformation. The system refines, narrows, and integrates internally.</w:t>
            </w:r>
          </w:p>
        </w:tc>
        <w:tc>
          <w:tcPr>
            <w:tcW w:type="dxa" w:w="1728"/>
          </w:tcPr>
          <w:p>
            <w:r>
              <w:t>Text diff magnitude, outcome count, coupling rate, revision intensity</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r>
              <w:t>Bind_out</w:t>
            </w:r>
          </w:p>
        </w:tc>
        <w:tc>
          <w:tcPr>
            <w:tcW w:type="dxa" w:w="1728"/>
          </w:tcPr>
          <w:p>
            <w:r>
              <w:t>B_out</w:t>
            </w:r>
          </w:p>
        </w:tc>
        <w:tc>
          <w:tcPr>
            <w:tcW w:type="dxa" w:w="1728"/>
          </w:tcPr>
          <w:p>
            <w:r>
              <w:t>External binding and commitment. The system commits irreversibly to an external boundary.</w:t>
            </w:r>
          </w:p>
        </w:tc>
        <w:tc>
          <w:tcPr>
            <w:tcW w:type="dxa" w:w="1728"/>
          </w:tcPr>
          <w:p>
            <w:r>
              <w:t>Publication, grant award,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validation wrappers, and lifecycle datasets are publicly available at https://github.com/aollar/TFP-core.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