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color w:val="2F5496"/>
          <w:sz w:val="52"/>
        </w:rPr>
        <w:t>Testing The First Pattern:</w:t>
        <w:br/>
        <w:t>A Benchmark and Methods Guide for Lifecycle Stage Structure Research</w:t>
      </w:r>
    </w:p>
    <w:p>
      <w:pPr>
        <w:spacing w:after="120"/>
        <w:pBdr>
          <w:bottom w:val="single" w:sz="6" w:space="1" w:color="2F5496"/>
        </w:pBdr>
      </w:pPr>
    </w:p>
    <w:p>
      <w:pPr>
        <w:spacing w:after="20"/>
      </w:pPr>
      <w:r>
        <w:rPr>
          <w:rFonts w:ascii="Times New Roman" w:hAnsi="Times New Roman"/>
          <w:b w:val="0"/>
          <w:i w:val="0"/>
          <w:color w:val="000000"/>
          <w:sz w:val="22"/>
        </w:rPr>
        <w:t>Austin Ollar</w:t>
      </w:r>
    </w:p>
    <w:p>
      <w:pPr>
        <w:spacing w:after="20"/>
      </w:pPr>
      <w:r>
        <w:rPr>
          <w:rFonts w:ascii="Times New Roman" w:hAnsi="Times New Roman"/>
          <w:b w:val="0"/>
          <w:i w:val="0"/>
          <w:color w:val="000000"/>
          <w:sz w:val="22"/>
        </w:rPr>
        <w:t>ORCID: 0009-0002-9998-9287</w:t>
      </w:r>
    </w:p>
    <w:p>
      <w:pPr>
        <w:spacing w:after="120"/>
      </w:pPr>
      <w:r>
        <w:rPr>
          <w:rFonts w:ascii="Times New Roman" w:hAnsi="Times New Roman"/>
          <w:b w:val="0"/>
          <w:i w:val="0"/>
          <w:color w:val="000000"/>
          <w:sz w:val="22"/>
        </w:rPr>
        <w:t>March 2026</w:t>
      </w:r>
    </w:p>
    <w:p>
      <w:pPr>
        <w:spacing w:after="160"/>
      </w:pPr>
      <w:r>
        <w:rPr>
          <w:rFonts w:ascii="Times New Roman" w:hAnsi="Times New Roman"/>
          <w:b w:val="0"/>
          <w:i/>
          <w:color w:val="000000"/>
          <w:sz w:val="22"/>
        </w:rPr>
        <w:t>Keywords: lifecycle grammar, information operators, stage non-interchangeability, benchmark, falsification, research program, cross-domain invariants</w:t>
      </w:r>
    </w:p>
    <w:p>
      <w:r>
        <w:rPr>
          <w:rFonts w:ascii="Times New Roman" w:hAnsi="Times New Roman"/>
          <w:b/>
          <w:color w:val="2F5496"/>
          <w:sz w:val="24"/>
        </w:rPr>
        <w:t>Start Here</w:t>
      </w:r>
    </w:p>
    <w:p>
      <w:r>
        <w:rPr>
          <w:rFonts w:ascii="Times New Roman" w:hAnsi="Times New Roman"/>
          <w:sz w:val="22"/>
        </w:rPr>
        <w:t>To understand what TFP claims: read Section 2.</w:t>
        <w:br/>
      </w:r>
      <w:r>
        <w:rPr>
          <w:rFonts w:ascii="Times New Roman" w:hAnsi="Times New Roman"/>
          <w:sz w:val="22"/>
        </w:rPr>
        <w:t>To see what has been validated: read Table 1 in Section 3.</w:t>
        <w:br/>
      </w:r>
      <w:r>
        <w:rPr>
          <w:rFonts w:ascii="Times New Roman" w:hAnsi="Times New Roman"/>
          <w:sz w:val="22"/>
        </w:rPr>
        <w:t>To test TFP on your own data: follow the protocol in Section 6.</w:t>
        <w:br/>
      </w:r>
      <w:r>
        <w:rPr>
          <w:rFonts w:ascii="Times New Roman" w:hAnsi="Times New Roman"/>
          <w:sz w:val="22"/>
        </w:rPr>
        <w:t>To find benchmark tasks and rival models: see Section 7.</w:t>
        <w:br/>
      </w:r>
      <w:r>
        <w:rPr>
          <w:rFonts w:ascii="Times New Roman" w:hAnsi="Times New Roman"/>
          <w:sz w:val="22"/>
        </w:rPr>
        <w:t>To identify open problems where your expertise applies: see Section 9.</w:t>
        <w:br/>
      </w:r>
      <w:r>
        <w:rPr>
          <w:rFonts w:ascii="Times New Roman" w:hAnsi="Times New Roman"/>
          <w:sz w:val="22"/>
        </w:rPr>
        <w:t>To report results (including negative findings): see CONTRIBUTING.md in the public repository.</w:t>
        <w:br/>
      </w:r>
    </w:p>
    <w:p>
      <w:pPr>
        <w:spacing w:after="120" w:before="240"/>
      </w:pPr>
      <w:r>
        <w:rPr>
          <w:rFonts w:ascii="Times New Roman" w:hAnsi="Times New Roman"/>
          <w:b/>
          <w:i w:val="0"/>
          <w:color w:val="2F5496"/>
          <w:sz w:val="28"/>
        </w:rPr>
        <w:t>Abstract</w:t>
      </w:r>
    </w:p>
    <w:p>
      <w:pPr>
        <w:spacing w:after="60"/>
      </w:pPr>
      <w:r>
        <w:rPr>
          <w:rFonts w:ascii="Times New Roman" w:hAnsi="Times New Roman"/>
          <w:b w:val="0"/>
          <w:i w:val="0"/>
          <w:color w:val="000000"/>
          <w:sz w:val="22"/>
        </w:rPr>
        <w:t>The First Pattern (TFP) is a proposed lifecycle grammar: a claim that adaptive processes exhibiting staged progression share conserved, non-interchangeable stage functions organized around four information operators. This paper provides the minimum viable research package for outside researchers to independently test, replicate, falsify, or extend TFP predictions in new domains. We present: (a) a validated claims table with explicit confidence levels and assignment criteria; (b) canonical operational definitions for each information operator with measurable proxies; (c) step-by-step test protocols with prerequisites, time estimates, and explicit failure criteria; (d) benchmark tasks with rival models, minimum data requirements, and kill criteria; and (e) a catalog of open problems ranked by tractability. The current evidence base spans five papers covering institutional lifecycle domains (standards bodies, clinical trials, regulatory processes, patents), simulation, battery degradation, and foraging. Six core signatures have been validated at high confidence across multiple domains. Several predictions remain untested, the theoretical mechanism underlying the observed invariants is unknown, and the boundary conditions have not been systematically mapped. Every claim carries an explicit confidence level and every test carries explicit failure criteria. Researchers who find that TFP predictions fail in their domain will have contributed as much to the program as those who find support.</w:t>
      </w:r>
    </w:p>
    <w:p>
      <w:pPr>
        <w:spacing w:after="120" w:before="240"/>
      </w:pPr>
      <w:r>
        <w:rPr>
          <w:rFonts w:ascii="Times New Roman" w:hAnsi="Times New Roman"/>
          <w:b/>
          <w:i w:val="0"/>
          <w:color w:val="2F5496"/>
          <w:sz w:val="28"/>
        </w:rPr>
        <w:t>1. Introduction</w:t>
      </w:r>
    </w:p>
    <w:p>
      <w:pPr>
        <w:spacing w:after="60"/>
      </w:pPr>
      <w:r>
        <w:rPr>
          <w:rFonts w:ascii="Times New Roman" w:hAnsi="Times New Roman"/>
          <w:b w:val="0"/>
          <w:i w:val="0"/>
          <w:color w:val="000000"/>
          <w:sz w:val="22"/>
        </w:rPr>
        <w:t>Lifecycle stage structure is a common feature of complex adaptive processes. Internet standards progress through proposal, review, and ratification stages. Clinical trials advance through protocol registration, enrollment, and results reporting. Regulatory rules move from proposal through comment periods to final publication. A natural question arises: are the functions performed at each stage arbitrary, or do they reflect a conserved structure?</w:t>
      </w:r>
    </w:p>
    <w:p>
      <w:pPr>
        <w:spacing w:after="60"/>
      </w:pPr>
      <w:r>
        <w:rPr>
          <w:rFonts w:ascii="Times New Roman" w:hAnsi="Times New Roman"/>
          <w:b w:val="0"/>
          <w:i w:val="0"/>
          <w:color w:val="000000"/>
          <w:sz w:val="22"/>
        </w:rPr>
        <w:t>The First Pattern (TFP) proposes a specific answer: systems that exhibit staged lifecycle progression will show conserved, non-interchangeable stage functions consistent with a four-quadrant Information Emergence Cycle (IEC). Each quadrant is governed by a distinct information operator, and TFP predicts that these operator–stage bindings are conserved across domains.</w:t>
      </w:r>
    </w:p>
    <w:p>
      <w:pPr>
        <w:spacing w:after="60"/>
      </w:pPr>
      <w:r>
        <w:rPr>
          <w:rFonts w:ascii="Times New Roman" w:hAnsi="Times New Roman"/>
          <w:b w:val="0"/>
          <w:i w:val="0"/>
          <w:color w:val="000000"/>
          <w:sz w:val="22"/>
        </w:rPr>
        <w:t>TFP is currently an early-stage research program. Two flagship papers have established its core empirical signatures across multiple institutional domains, and three supporting papers provide additional evidence from simulation, battery degradation, and foraging contexts. The results to date are encouraging but incomplete: several predictions remain untested, the theoretical mechanism underlying the observed invariants is unknown, and the boundary conditions—which systems exhibit TFP structure and which do not—have not been systematically mapped.</w:t>
      </w:r>
    </w:p>
    <w:p>
      <w:pPr>
        <w:spacing w:after="60"/>
      </w:pPr>
      <w:r>
        <w:rPr>
          <w:rFonts w:ascii="Times New Roman" w:hAnsi="Times New Roman"/>
          <w:b w:val="0"/>
          <w:i w:val="0"/>
          <w:color w:val="000000"/>
          <w:sz w:val="22"/>
        </w:rPr>
        <w:t>The purpose of this paper is to provide a self-contained research toolkit for outside investigators. We supply: (a) precise definitions of what TFP claims and does not claim; (b) a summary of what has been validated and at what confidence level, with transparent criteria for how confidence levels are assigned; (c) canonical operational definitions for each operator with measurable proxies; (d) step-by-step instructions for testing TFP on a new domain, including prerequisites, time estimates, and what failure looks like at each step; (e) benchmark tasks with rival models, minimum data requirements, and kill criteria; (f) a mechanism roadmap for future theoretical work; and (g) a catalog of open problems.</w:t>
      </w:r>
    </w:p>
    <w:p>
      <w:pPr>
        <w:spacing w:after="60"/>
      </w:pPr>
      <w:r>
        <w:rPr>
          <w:rFonts w:ascii="Times New Roman" w:hAnsi="Times New Roman"/>
          <w:b w:val="0"/>
          <w:i w:val="0"/>
          <w:color w:val="000000"/>
          <w:sz w:val="22"/>
        </w:rPr>
        <w:t>This paper is not a theory pitch, not a proof, and not a manifesto. It is a benchmark and methods guide. Its value will be determined by whether outside researchers find it sufficient to run their own TFP tests without consulting the original author.</w:t>
      </w:r>
    </w:p>
    <w:p>
      <w:pPr>
        <w:spacing w:after="120" w:before="240"/>
      </w:pPr>
      <w:r>
        <w:rPr>
          <w:rFonts w:ascii="Times New Roman" w:hAnsi="Times New Roman"/>
          <w:b/>
          <w:i w:val="0"/>
          <w:color w:val="2F5496"/>
          <w:sz w:val="28"/>
        </w:rPr>
        <w:t>2. What TFP Claims</w:t>
      </w:r>
    </w:p>
    <w:p>
      <w:pPr>
        <w:spacing w:after="80" w:before="160"/>
      </w:pPr>
      <w:r>
        <w:rPr>
          <w:rFonts w:ascii="Times New Roman" w:hAnsi="Times New Roman"/>
          <w:b/>
          <w:i w:val="0"/>
          <w:color w:val="2F5496"/>
          <w:sz w:val="24"/>
        </w:rPr>
        <w:t>2.1 The Information Emergence Cycle</w:t>
      </w:r>
    </w:p>
    <w:p>
      <w:pPr>
        <w:spacing w:after="60"/>
      </w:pPr>
      <w:r>
        <w:rPr>
          <w:rFonts w:ascii="Times New Roman" w:hAnsi="Times New Roman"/>
          <w:b w:val="0"/>
          <w:i w:val="0"/>
          <w:color w:val="000000"/>
          <w:sz w:val="22"/>
        </w:rPr>
        <w:t>TFP's central structure is the Information Emergence Cycle (IEC), a four-quadrant lifecycle model in which each quadrant performs a distinct information-processing function:</w:t>
      </w:r>
    </w:p>
    <w:p>
      <w:pPr>
        <w:spacing w:after="60"/>
      </w:pPr>
      <w:r>
        <w:rPr>
          <w:rFonts w:ascii="Times New Roman" w:hAnsi="Times New Roman"/>
          <w:b w:val="0"/>
          <w:i w:val="0"/>
          <w:color w:val="000000"/>
          <w:sz w:val="22"/>
        </w:rPr>
        <w:t>• Q1 (Generation): The system forms an initial internal reference point before external engagement begins. In lifecycle terms, this corresponds to proposal drafting, study design, or initial filing. Q1 remains the least validated stage and is not directly tested in the current evidence base.</w:t>
      </w:r>
    </w:p>
    <w:p>
      <w:pPr>
        <w:spacing w:after="60"/>
      </w:pPr>
      <w:r>
        <w:rPr>
          <w:rFonts w:ascii="Times New Roman" w:hAnsi="Times New Roman"/>
          <w:b w:val="0"/>
          <w:i w:val="0"/>
          <w:color w:val="000000"/>
          <w:sz w:val="22"/>
        </w:rPr>
        <w:t>• Q2 (Selection): The system couples with external information sources, gathering broadly while consolidating internal references. In lifecycle terms, this is the broad intake and evaluation phase.</w:t>
      </w:r>
    </w:p>
    <w:p>
      <w:pPr>
        <w:spacing w:after="60"/>
      </w:pPr>
      <w:r>
        <w:rPr>
          <w:rFonts w:ascii="Times New Roman" w:hAnsi="Times New Roman"/>
          <w:b w:val="0"/>
          <w:i w:val="0"/>
          <w:color w:val="000000"/>
          <w:sz w:val="22"/>
        </w:rPr>
        <w:t>• Q3 (Refinement): The system narrows options internally while beginning to commit externally. In lifecycle terms, this is the convergence and decision phase.</w:t>
      </w:r>
    </w:p>
    <w:p>
      <w:pPr>
        <w:spacing w:after="60"/>
      </w:pPr>
      <w:r>
        <w:rPr>
          <w:rFonts w:ascii="Times New Roman" w:hAnsi="Times New Roman"/>
          <w:b w:val="0"/>
          <w:i w:val="0"/>
          <w:color w:val="000000"/>
          <w:sz w:val="22"/>
        </w:rPr>
        <w:t>• Q4 (Deployment): The system makes irreversible external commitments. Q4 bifurcates into Q4A (continuation along the current trajectory) and Q4B (viability-gated return to earlier lifecycle functions after failure).</w:t>
      </w:r>
    </w:p>
    <w:p>
      <w:pPr>
        <w:spacing w:after="80" w:before="160"/>
      </w:pPr>
      <w:r>
        <w:rPr>
          <w:rFonts w:ascii="Times New Roman" w:hAnsi="Times New Roman"/>
          <w:b/>
          <w:i w:val="0"/>
          <w:color w:val="2F5496"/>
          <w:sz w:val="24"/>
        </w:rPr>
        <w:t>2.2 The Four Information Operators</w:t>
      </w:r>
    </w:p>
    <w:p>
      <w:pPr>
        <w:spacing w:after="60"/>
      </w:pPr>
      <w:r>
        <w:rPr>
          <w:rFonts w:ascii="Times New Roman" w:hAnsi="Times New Roman"/>
          <w:b w:val="0"/>
          <w:i w:val="0"/>
          <w:color w:val="000000"/>
          <w:sz w:val="22"/>
        </w:rPr>
        <w:t>Each quadrant's function is defined by a combination of four information operators, distinguished along two axes: internal vs. external orientation, and binding (stabilizing) vs. exploring (destabilizing) function.</w:t>
      </w:r>
    </w:p>
    <w:p>
      <w:pPr>
        <w:spacing w:after="60"/>
      </w:pPr>
      <w:r>
        <w:rPr>
          <w:rFonts w:ascii="Times New Roman" w:hAnsi="Times New Roman"/>
          <w:b w:val="0"/>
          <w:i w:val="0"/>
          <w:color w:val="000000"/>
          <w:sz w:val="22"/>
        </w:rPr>
        <w:t>• B_in (Internal anchor): Sticky internal reference resistant to change. Measurable as revision rate decline, protocol stability, self-citation persistence.</w:t>
      </w:r>
    </w:p>
    <w:p>
      <w:pPr>
        <w:spacing w:after="60"/>
      </w:pPr>
      <w:r>
        <w:rPr>
          <w:rFonts w:ascii="Times New Roman" w:hAnsi="Times New Roman"/>
          <w:b w:val="0"/>
          <w:i w:val="0"/>
          <w:color w:val="000000"/>
          <w:sz w:val="22"/>
        </w:rPr>
        <w:t>• E_out (External gathering): Broad scanning, channel-changing, gathering novelty. Measurable as cross-reference diversity, collaborator count, comment volume.</w:t>
      </w:r>
    </w:p>
    <w:p>
      <w:pPr>
        <w:spacing w:after="60"/>
      </w:pPr>
      <w:r>
        <w:rPr>
          <w:rFonts w:ascii="Times New Roman" w:hAnsi="Times New Roman"/>
          <w:b w:val="0"/>
          <w:i w:val="0"/>
          <w:color w:val="000000"/>
          <w:sz w:val="22"/>
        </w:rPr>
        <w:t>• E_in (Internal narrowing): Concluding, eliminating options, reducing candidates. Measurable as text diff magnitude, outcome count reduction, coupling rate.</w:t>
      </w:r>
    </w:p>
    <w:p>
      <w:pPr>
        <w:spacing w:after="60"/>
      </w:pPr>
      <w:r>
        <w:rPr>
          <w:rFonts w:ascii="Times New Roman" w:hAnsi="Times New Roman"/>
          <w:b w:val="0"/>
          <w:i w:val="0"/>
          <w:color w:val="000000"/>
          <w:sz w:val="22"/>
        </w:rPr>
        <w:t>• B_out (External commitment): Persistent global write, difficult to reverse. Measurable as publication, grant award, results posting, effective date.</w:t>
      </w:r>
    </w:p>
    <w:p>
      <w:pPr>
        <w:spacing w:after="80" w:before="160"/>
      </w:pPr>
      <w:r>
        <w:rPr>
          <w:rFonts w:ascii="Times New Roman" w:hAnsi="Times New Roman"/>
          <w:b/>
          <w:i w:val="0"/>
          <w:color w:val="2F5496"/>
          <w:sz w:val="24"/>
        </w:rPr>
        <w:t>2.3 Scope of the Claim</w:t>
      </w:r>
    </w:p>
    <w:p>
      <w:pPr>
        <w:spacing w:after="60"/>
      </w:pPr>
      <w:r>
        <w:rPr>
          <w:rFonts w:ascii="Times New Roman" w:hAnsi="Times New Roman"/>
          <w:b w:val="0"/>
          <w:i w:val="0"/>
          <w:color w:val="000000"/>
          <w:sz w:val="22"/>
        </w:rPr>
        <w:t>TFP does not claim that all systems follow lifecycle structure. The claim is narrower: systems that do exhibit staged lifecycle progression will show conserved, non-interchangeable stage functions consistent with the IEC mapping. The boundary between systems that exhibit TFP structure and those that do not is an open empirical question (see Section 9).</w:t>
      </w:r>
    </w:p>
    <w:p>
      <w:pPr>
        <w:spacing w:after="120" w:before="240"/>
      </w:pPr>
      <w:r>
        <w:rPr>
          <w:rFonts w:ascii="Times New Roman" w:hAnsi="Times New Roman"/>
          <w:b/>
          <w:i w:val="0"/>
          <w:color w:val="2F5496"/>
          <w:sz w:val="28"/>
        </w:rPr>
        <w:t>3. What Has Been Validated</w:t>
      </w:r>
    </w:p>
    <w:p>
      <w:pPr>
        <w:spacing w:after="60"/>
      </w:pPr>
      <w:r>
        <w:rPr>
          <w:rFonts w:ascii="Times New Roman" w:hAnsi="Times New Roman"/>
          <w:b w:val="0"/>
          <w:i w:val="0"/>
          <w:color w:val="000000"/>
          <w:sz w:val="22"/>
        </w:rPr>
        <w:t>Table 1 summarizes the current validation status of TFP claims. Confidence levels reflect the strength and breadth of current evidence, not theoretical certainty. See Section 3.1 for confidence level definitions.</w:t>
      </w:r>
    </w:p>
    <w:p>
      <w:pPr>
        <w:spacing w:after="80"/>
      </w:pPr>
      <w:r>
        <w:rPr>
          <w:rFonts w:ascii="Times New Roman" w:hAnsi="Times New Roman"/>
          <w:b/>
          <w:i/>
          <w:color w:val="000000"/>
          <w:sz w:val="20"/>
        </w:rPr>
        <w:t>Table 1. TFP Claim Validation Status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28"/>
        <w:gridCol w:w="1728"/>
        <w:gridCol w:w="1728"/>
        <w:gridCol w:w="1728"/>
        <w:gridCol w:w="1728"/>
      </w:tblGrid>
      <w:tr>
        <w:tc>
          <w:tcPr>
            <w:tcW w:type="dxa" w:w="1728"/>
            <w:shd w:fill="D9E2F3" w:val="clear"/>
          </w:tcPr>
          <w:p>
            <w:pPr>
              <w:spacing w:after="20" w:before="20"/>
            </w:pPr>
            <w:r/>
            <w:r>
              <w:rPr>
                <w:rFonts w:ascii="Times New Roman" w:hAnsi="Times New Roman"/>
                <w:b/>
                <w:color w:val="000000"/>
                <w:sz w:val="20"/>
              </w:rPr>
              <w:t>Claim</w:t>
            </w:r>
          </w:p>
        </w:tc>
        <w:tc>
          <w:tcPr>
            <w:tcW w:type="dxa" w:w="1728"/>
            <w:shd w:fill="D9E2F3" w:val="clear"/>
          </w:tcPr>
          <w:p>
            <w:pPr>
              <w:spacing w:after="20" w:before="20"/>
            </w:pPr>
            <w:r/>
            <w:r>
              <w:rPr>
                <w:rFonts w:ascii="Times New Roman" w:hAnsi="Times New Roman"/>
                <w:b/>
                <w:color w:val="000000"/>
                <w:sz w:val="20"/>
              </w:rPr>
              <w:t>Paper</w:t>
            </w:r>
          </w:p>
        </w:tc>
        <w:tc>
          <w:tcPr>
            <w:tcW w:type="dxa" w:w="1728"/>
            <w:shd w:fill="D9E2F3" w:val="clear"/>
          </w:tcPr>
          <w:p>
            <w:pPr>
              <w:spacing w:after="20" w:before="20"/>
            </w:pPr>
            <w:r/>
            <w:r>
              <w:rPr>
                <w:rFonts w:ascii="Times New Roman" w:hAnsi="Times New Roman"/>
                <w:b/>
                <w:color w:val="000000"/>
                <w:sz w:val="20"/>
              </w:rPr>
              <w:t>Status</w:t>
            </w:r>
          </w:p>
        </w:tc>
        <w:tc>
          <w:tcPr>
            <w:tcW w:type="dxa" w:w="1728"/>
            <w:shd w:fill="D9E2F3" w:val="clear"/>
          </w:tcPr>
          <w:p>
            <w:pPr>
              <w:spacing w:after="20" w:before="20"/>
            </w:pPr>
            <w:r/>
            <w:r>
              <w:rPr>
                <w:rFonts w:ascii="Times New Roman" w:hAnsi="Times New Roman"/>
                <w:b/>
                <w:color w:val="000000"/>
                <w:sz w:val="20"/>
              </w:rPr>
              <w:t>Key Result</w:t>
            </w:r>
          </w:p>
        </w:tc>
        <w:tc>
          <w:tcPr>
            <w:tcW w:type="dxa" w:w="1728"/>
            <w:shd w:fill="D9E2F3" w:val="clear"/>
          </w:tcPr>
          <w:p>
            <w:pPr>
              <w:spacing w:after="20" w:before="20"/>
            </w:pPr>
            <w:r/>
            <w:r>
              <w:rPr>
                <w:rFonts w:ascii="Times New Roman" w:hAnsi="Times New Roman"/>
                <w:b/>
                <w:color w:val="000000"/>
                <w:sz w:val="20"/>
              </w:rPr>
              <w:t>Confidence</w:t>
            </w:r>
          </w:p>
        </w:tc>
      </w:tr>
      <w:tr>
        <w:tc>
          <w:tcPr>
            <w:tcW w:type="dxa" w:w="1728"/>
          </w:tcPr>
          <w:p>
            <w:pPr>
              <w:spacing w:after="20" w:before="20"/>
            </w:pPr>
            <w:r/>
            <w:r>
              <w:rPr>
                <w:rFonts w:ascii="Times New Roman" w:hAnsi="Times New Roman"/>
                <w:b w:val="0"/>
                <w:color w:val="000000"/>
                <w:sz w:val="20"/>
              </w:rPr>
              <w:t>Q2–Q3 structural opposition</w:t>
            </w:r>
          </w:p>
        </w:tc>
        <w:tc>
          <w:tcPr>
            <w:tcW w:type="dxa" w:w="1728"/>
          </w:tcPr>
          <w:p>
            <w:pPr>
              <w:spacing w:after="20" w:before="20"/>
            </w:pPr>
            <w:r/>
            <w:r>
              <w:rPr>
                <w:rFonts w:ascii="Times New Roman" w:hAnsi="Times New Roman"/>
                <w:b w:val="0"/>
                <w:color w:val="000000"/>
                <w:sz w:val="20"/>
              </w:rPr>
              <w:t>Paper 4</w:t>
            </w:r>
          </w:p>
        </w:tc>
        <w:tc>
          <w:tcPr>
            <w:tcW w:type="dxa" w:w="1728"/>
          </w:tcPr>
          <w:p>
            <w:pPr>
              <w:spacing w:after="20" w:before="20"/>
            </w:pPr>
            <w:r/>
            <w:r>
              <w:rPr>
                <w:rFonts w:ascii="Times New Roman" w:hAnsi="Times New Roman"/>
                <w:b w:val="0"/>
                <w:color w:val="000000"/>
                <w:sz w:val="20"/>
              </w:rPr>
              <w:t>Validated</w:t>
            </w:r>
          </w:p>
        </w:tc>
        <w:tc>
          <w:tcPr>
            <w:tcW w:type="dxa" w:w="1728"/>
          </w:tcPr>
          <w:p>
            <w:pPr>
              <w:spacing w:after="20" w:before="20"/>
            </w:pPr>
            <w:r/>
            <w:r>
              <w:rPr>
                <w:rFonts w:ascii="Times New Roman" w:hAnsi="Times New Roman"/>
                <w:b w:val="0"/>
                <w:color w:val="000000"/>
                <w:sz w:val="20"/>
              </w:rPr>
              <w:t>ρ = −0.75, 100% of individuals</w:t>
            </w:r>
          </w:p>
        </w:tc>
        <w:tc>
          <w:tcPr>
            <w:tcW w:type="dxa" w:w="1728"/>
          </w:tcPr>
          <w:p>
            <w:pPr>
              <w:spacing w:after="20" w:before="20"/>
            </w:pPr>
            <w:r/>
            <w:r>
              <w:rPr>
                <w:rFonts w:ascii="Times New Roman" w:hAnsi="Times New Roman"/>
                <w:b w:val="0"/>
                <w:color w:val="000000"/>
                <w:sz w:val="20"/>
              </w:rPr>
              <w:t>High</w:t>
            </w:r>
          </w:p>
        </w:tc>
      </w:tr>
      <w:tr>
        <w:tc>
          <w:tcPr>
            <w:tcW w:type="dxa" w:w="1728"/>
          </w:tcPr>
          <w:p>
            <w:pPr>
              <w:spacing w:after="20" w:before="20"/>
            </w:pPr>
            <w:r/>
            <w:r>
              <w:rPr>
                <w:rFonts w:ascii="Times New Roman" w:hAnsi="Times New Roman"/>
                <w:b w:val="0"/>
                <w:color w:val="000000"/>
                <w:sz w:val="20"/>
              </w:rPr>
              <w:t>Unidirectional Q2→Q3 flow</w:t>
            </w:r>
          </w:p>
        </w:tc>
        <w:tc>
          <w:tcPr>
            <w:tcW w:type="dxa" w:w="1728"/>
          </w:tcPr>
          <w:p>
            <w:pPr>
              <w:spacing w:after="20" w:before="20"/>
            </w:pPr>
            <w:r/>
            <w:r>
              <w:rPr>
                <w:rFonts w:ascii="Times New Roman" w:hAnsi="Times New Roman"/>
                <w:b w:val="0"/>
                <w:color w:val="000000"/>
                <w:sz w:val="20"/>
              </w:rPr>
              <w:t>Paper 4</w:t>
            </w:r>
          </w:p>
        </w:tc>
        <w:tc>
          <w:tcPr>
            <w:tcW w:type="dxa" w:w="1728"/>
          </w:tcPr>
          <w:p>
            <w:pPr>
              <w:spacing w:after="20" w:before="20"/>
            </w:pPr>
            <w:r/>
            <w:r>
              <w:rPr>
                <w:rFonts w:ascii="Times New Roman" w:hAnsi="Times New Roman"/>
                <w:b w:val="0"/>
                <w:color w:val="000000"/>
                <w:sz w:val="20"/>
              </w:rPr>
              <w:t>Validated</w:t>
            </w:r>
          </w:p>
        </w:tc>
        <w:tc>
          <w:tcPr>
            <w:tcW w:type="dxa" w:w="1728"/>
          </w:tcPr>
          <w:p>
            <w:pPr>
              <w:spacing w:after="20" w:before="20"/>
            </w:pPr>
            <w:r/>
            <w:r>
              <w:rPr>
                <w:rFonts w:ascii="Times New Roman" w:hAnsi="Times New Roman"/>
                <w:b w:val="0"/>
                <w:color w:val="000000"/>
                <w:sz w:val="20"/>
              </w:rPr>
              <w:t>AI = −0.92, cross-domain</w:t>
            </w:r>
          </w:p>
        </w:tc>
        <w:tc>
          <w:tcPr>
            <w:tcW w:type="dxa" w:w="1728"/>
          </w:tcPr>
          <w:p>
            <w:pPr>
              <w:spacing w:after="20" w:before="20"/>
            </w:pPr>
            <w:r/>
            <w:r>
              <w:rPr>
                <w:rFonts w:ascii="Times New Roman" w:hAnsi="Times New Roman"/>
                <w:b w:val="0"/>
                <w:color w:val="000000"/>
                <w:sz w:val="20"/>
              </w:rPr>
              <w:t>High</w:t>
            </w:r>
          </w:p>
        </w:tc>
      </w:tr>
      <w:tr>
        <w:tc>
          <w:tcPr>
            <w:tcW w:type="dxa" w:w="1728"/>
          </w:tcPr>
          <w:p>
            <w:pPr>
              <w:spacing w:after="20" w:before="20"/>
            </w:pPr>
            <w:r/>
            <w:r>
              <w:rPr>
                <w:rFonts w:ascii="Times New Roman" w:hAnsi="Times New Roman"/>
                <w:b w:val="0"/>
                <w:color w:val="000000"/>
                <w:sz w:val="20"/>
              </w:rPr>
              <w:t>Viability-gated Q4B reseeding</w:t>
            </w:r>
          </w:p>
        </w:tc>
        <w:tc>
          <w:tcPr>
            <w:tcW w:type="dxa" w:w="1728"/>
          </w:tcPr>
          <w:p>
            <w:pPr>
              <w:spacing w:after="20" w:before="20"/>
            </w:pPr>
            <w:r/>
            <w:r>
              <w:rPr>
                <w:rFonts w:ascii="Times New Roman" w:hAnsi="Times New Roman"/>
                <w:b w:val="0"/>
                <w:color w:val="000000"/>
                <w:sz w:val="20"/>
              </w:rPr>
              <w:t>Paper 4</w:t>
            </w:r>
          </w:p>
        </w:tc>
        <w:tc>
          <w:tcPr>
            <w:tcW w:type="dxa" w:w="1728"/>
          </w:tcPr>
          <w:p>
            <w:pPr>
              <w:spacing w:after="20" w:before="20"/>
            </w:pPr>
            <w:r/>
            <w:r>
              <w:rPr>
                <w:rFonts w:ascii="Times New Roman" w:hAnsi="Times New Roman"/>
                <w:b w:val="0"/>
                <w:color w:val="000000"/>
                <w:sz w:val="20"/>
              </w:rPr>
              <w:t>Validated</w:t>
            </w:r>
          </w:p>
        </w:tc>
        <w:tc>
          <w:tcPr>
            <w:tcW w:type="dxa" w:w="1728"/>
          </w:tcPr>
          <w:p>
            <w:pPr>
              <w:spacing w:after="20" w:before="20"/>
            </w:pPr>
            <w:r/>
            <w:r>
              <w:rPr>
                <w:rFonts w:ascii="Times New Roman" w:hAnsi="Times New Roman"/>
                <w:b w:val="0"/>
                <w:color w:val="000000"/>
                <w:sz w:val="20"/>
              </w:rPr>
              <w:t>p = 3.9e−83, 20/20 participants</w:t>
            </w:r>
          </w:p>
        </w:tc>
        <w:tc>
          <w:tcPr>
            <w:tcW w:type="dxa" w:w="1728"/>
          </w:tcPr>
          <w:p>
            <w:pPr>
              <w:spacing w:after="20" w:before="20"/>
            </w:pPr>
            <w:r/>
            <w:r>
              <w:rPr>
                <w:rFonts w:ascii="Times New Roman" w:hAnsi="Times New Roman"/>
                <w:b w:val="0"/>
                <w:color w:val="000000"/>
                <w:sz w:val="20"/>
              </w:rPr>
              <w:t>High</w:t>
            </w:r>
          </w:p>
        </w:tc>
      </w:tr>
      <w:tr>
        <w:tc>
          <w:tcPr>
            <w:tcW w:type="dxa" w:w="1728"/>
          </w:tcPr>
          <w:p>
            <w:pPr>
              <w:spacing w:after="20" w:before="20"/>
            </w:pPr>
            <w:r/>
            <w:r>
              <w:rPr>
                <w:rFonts w:ascii="Times New Roman" w:hAnsi="Times New Roman"/>
                <w:b w:val="0"/>
                <w:color w:val="000000"/>
                <w:sz w:val="20"/>
              </w:rPr>
              <w:t>Q2–Q4 non-interchangeable functions</w:t>
            </w:r>
          </w:p>
        </w:tc>
        <w:tc>
          <w:tcPr>
            <w:tcW w:type="dxa" w:w="1728"/>
          </w:tcPr>
          <w:p>
            <w:pPr>
              <w:spacing w:after="20" w:before="20"/>
            </w:pPr>
            <w:r/>
            <w:r>
              <w:rPr>
                <w:rFonts w:ascii="Times New Roman" w:hAnsi="Times New Roman"/>
                <w:b w:val="0"/>
                <w:color w:val="000000"/>
                <w:sz w:val="20"/>
              </w:rPr>
              <w:t>Paper 5</w:t>
            </w:r>
          </w:p>
        </w:tc>
        <w:tc>
          <w:tcPr>
            <w:tcW w:type="dxa" w:w="1728"/>
          </w:tcPr>
          <w:p>
            <w:pPr>
              <w:spacing w:after="20" w:before="20"/>
            </w:pPr>
            <w:r/>
            <w:r>
              <w:rPr>
                <w:rFonts w:ascii="Times New Roman" w:hAnsi="Times New Roman"/>
                <w:b w:val="0"/>
                <w:color w:val="000000"/>
                <w:sz w:val="20"/>
              </w:rPr>
              <w:t>Validated</w:t>
            </w:r>
          </w:p>
        </w:tc>
        <w:tc>
          <w:tcPr>
            <w:tcW w:type="dxa" w:w="1728"/>
          </w:tcPr>
          <w:p>
            <w:pPr>
              <w:spacing w:after="20" w:before="20"/>
            </w:pPr>
            <w:r/>
            <w:r>
              <w:rPr>
                <w:rFonts w:ascii="Times New Roman" w:hAnsi="Times New Roman"/>
                <w:b w:val="0"/>
                <w:color w:val="000000"/>
                <w:sz w:val="20"/>
              </w:rPr>
              <w:t>#1 of 6 permutations, 92% gap, 4 domains</w:t>
            </w:r>
          </w:p>
        </w:tc>
        <w:tc>
          <w:tcPr>
            <w:tcW w:type="dxa" w:w="1728"/>
          </w:tcPr>
          <w:p>
            <w:pPr>
              <w:spacing w:after="20" w:before="20"/>
            </w:pPr>
            <w:r/>
            <w:r>
              <w:rPr>
                <w:rFonts w:ascii="Times New Roman" w:hAnsi="Times New Roman"/>
                <w:b w:val="0"/>
                <w:color w:val="000000"/>
                <w:sz w:val="20"/>
              </w:rPr>
              <w:t>High</w:t>
            </w:r>
          </w:p>
        </w:tc>
      </w:tr>
      <w:tr>
        <w:tc>
          <w:tcPr>
            <w:tcW w:type="dxa" w:w="1728"/>
          </w:tcPr>
          <w:p>
            <w:pPr>
              <w:spacing w:after="20" w:before="20"/>
            </w:pPr>
            <w:r/>
            <w:r>
              <w:rPr>
                <w:rFonts w:ascii="Times New Roman" w:hAnsi="Times New Roman"/>
                <w:b w:val="0"/>
                <w:color w:val="000000"/>
                <w:sz w:val="20"/>
              </w:rPr>
              <w:t>Wrong-mapping collapse</w:t>
            </w:r>
          </w:p>
        </w:tc>
        <w:tc>
          <w:tcPr>
            <w:tcW w:type="dxa" w:w="1728"/>
          </w:tcPr>
          <w:p>
            <w:pPr>
              <w:spacing w:after="20" w:before="20"/>
            </w:pPr>
            <w:r/>
            <w:r>
              <w:rPr>
                <w:rFonts w:ascii="Times New Roman" w:hAnsi="Times New Roman"/>
                <w:b w:val="0"/>
                <w:color w:val="000000"/>
                <w:sz w:val="20"/>
              </w:rPr>
              <w:t>Paper 5</w:t>
            </w:r>
          </w:p>
        </w:tc>
        <w:tc>
          <w:tcPr>
            <w:tcW w:type="dxa" w:w="1728"/>
          </w:tcPr>
          <w:p>
            <w:pPr>
              <w:spacing w:after="20" w:before="20"/>
            </w:pPr>
            <w:r/>
            <w:r>
              <w:rPr>
                <w:rFonts w:ascii="Times New Roman" w:hAnsi="Times New Roman"/>
                <w:b w:val="0"/>
                <w:color w:val="000000"/>
                <w:sz w:val="20"/>
              </w:rPr>
              <w:t>Validated</w:t>
            </w:r>
          </w:p>
        </w:tc>
        <w:tc>
          <w:tcPr>
            <w:tcW w:type="dxa" w:w="1728"/>
          </w:tcPr>
          <w:p>
            <w:pPr>
              <w:spacing w:after="20" w:before="20"/>
            </w:pPr>
            <w:r/>
            <w:r>
              <w:rPr>
                <w:rFonts w:ascii="Times New Roman" w:hAnsi="Times New Roman"/>
                <w:b w:val="0"/>
                <w:color w:val="000000"/>
                <w:sz w:val="20"/>
              </w:rPr>
              <w:t>All 5 alternatives fail</w:t>
            </w:r>
          </w:p>
        </w:tc>
        <w:tc>
          <w:tcPr>
            <w:tcW w:type="dxa" w:w="1728"/>
          </w:tcPr>
          <w:p>
            <w:pPr>
              <w:spacing w:after="20" w:before="20"/>
            </w:pPr>
            <w:r/>
            <w:r>
              <w:rPr>
                <w:rFonts w:ascii="Times New Roman" w:hAnsi="Times New Roman"/>
                <w:b w:val="0"/>
                <w:color w:val="000000"/>
                <w:sz w:val="20"/>
              </w:rPr>
              <w:t>High</w:t>
            </w:r>
          </w:p>
        </w:tc>
      </w:tr>
      <w:tr>
        <w:tc>
          <w:tcPr>
            <w:tcW w:type="dxa" w:w="1728"/>
          </w:tcPr>
          <w:p>
            <w:pPr>
              <w:spacing w:after="20" w:before="20"/>
            </w:pPr>
            <w:r/>
            <w:r>
              <w:rPr>
                <w:rFonts w:ascii="Times New Roman" w:hAnsi="Times New Roman"/>
                <w:b w:val="0"/>
                <w:color w:val="000000"/>
                <w:sz w:val="20"/>
              </w:rPr>
              <w:t>HMM independent convergence</w:t>
            </w:r>
          </w:p>
        </w:tc>
        <w:tc>
          <w:tcPr>
            <w:tcW w:type="dxa" w:w="1728"/>
          </w:tcPr>
          <w:p>
            <w:pPr>
              <w:spacing w:after="20" w:before="20"/>
            </w:pPr>
            <w:r/>
            <w:r>
              <w:rPr>
                <w:rFonts w:ascii="Times New Roman" w:hAnsi="Times New Roman"/>
                <w:b w:val="0"/>
                <w:color w:val="000000"/>
                <w:sz w:val="20"/>
              </w:rPr>
              <w:t>Paper 5</w:t>
            </w:r>
          </w:p>
        </w:tc>
        <w:tc>
          <w:tcPr>
            <w:tcW w:type="dxa" w:w="1728"/>
          </w:tcPr>
          <w:p>
            <w:pPr>
              <w:spacing w:after="20" w:before="20"/>
            </w:pPr>
            <w:r/>
            <w:r>
              <w:rPr>
                <w:rFonts w:ascii="Times New Roman" w:hAnsi="Times New Roman"/>
                <w:b w:val="0"/>
                <w:color w:val="000000"/>
                <w:sz w:val="20"/>
              </w:rPr>
              <w:t>Validated</w:t>
            </w:r>
          </w:p>
        </w:tc>
        <w:tc>
          <w:tcPr>
            <w:tcW w:type="dxa" w:w="1728"/>
          </w:tcPr>
          <w:p>
            <w:pPr>
              <w:spacing w:after="20" w:before="20"/>
            </w:pPr>
            <w:r/>
            <w:r>
              <w:rPr>
                <w:rFonts w:ascii="Times New Roman" w:hAnsi="Times New Roman"/>
                <w:b w:val="0"/>
                <w:color w:val="000000"/>
                <w:sz w:val="20"/>
              </w:rPr>
              <w:t>Same binding recovered unsupervised</w:t>
            </w:r>
          </w:p>
        </w:tc>
        <w:tc>
          <w:tcPr>
            <w:tcW w:type="dxa" w:w="1728"/>
          </w:tcPr>
          <w:p>
            <w:pPr>
              <w:spacing w:after="20" w:before="20"/>
            </w:pPr>
            <w:r/>
            <w:r>
              <w:rPr>
                <w:rFonts w:ascii="Times New Roman" w:hAnsi="Times New Roman"/>
                <w:b w:val="0"/>
                <w:color w:val="000000"/>
                <w:sz w:val="20"/>
              </w:rPr>
              <w:t>High</w:t>
            </w:r>
          </w:p>
        </w:tc>
      </w:tr>
      <w:tr>
        <w:tc>
          <w:tcPr>
            <w:tcW w:type="dxa" w:w="1728"/>
          </w:tcPr>
          <w:p>
            <w:pPr>
              <w:spacing w:after="20" w:before="20"/>
            </w:pPr>
            <w:r/>
            <w:r>
              <w:rPr>
                <w:rFonts w:ascii="Times New Roman" w:hAnsi="Times New Roman"/>
                <w:b w:val="0"/>
                <w:color w:val="000000"/>
                <w:sz w:val="20"/>
              </w:rPr>
              <w:t>Dual-memory dissociation</w:t>
            </w:r>
          </w:p>
        </w:tc>
        <w:tc>
          <w:tcPr>
            <w:tcW w:type="dxa" w:w="1728"/>
          </w:tcPr>
          <w:p>
            <w:pPr>
              <w:spacing w:after="20" w:before="20"/>
            </w:pPr>
            <w:r/>
            <w:r>
              <w:rPr>
                <w:rFonts w:ascii="Times New Roman" w:hAnsi="Times New Roman"/>
                <w:b w:val="0"/>
                <w:color w:val="000000"/>
                <w:sz w:val="20"/>
              </w:rPr>
              <w:t>Paper A</w:t>
            </w:r>
          </w:p>
        </w:tc>
        <w:tc>
          <w:tcPr>
            <w:tcW w:type="dxa" w:w="1728"/>
          </w:tcPr>
          <w:p>
            <w:pPr>
              <w:spacing w:after="20" w:before="20"/>
            </w:pPr>
            <w:r/>
            <w:r>
              <w:rPr>
                <w:rFonts w:ascii="Times New Roman" w:hAnsi="Times New Roman"/>
                <w:b w:val="0"/>
                <w:color w:val="000000"/>
                <w:sz w:val="20"/>
              </w:rPr>
              <w:t>Validated (sim.)</w:t>
            </w:r>
          </w:p>
        </w:tc>
        <w:tc>
          <w:tcPr>
            <w:tcW w:type="dxa" w:w="1728"/>
          </w:tcPr>
          <w:p>
            <w:pPr>
              <w:spacing w:after="20" w:before="20"/>
            </w:pPr>
            <w:r/>
            <w:r>
              <w:rPr>
                <w:rFonts w:ascii="Times New Roman" w:hAnsi="Times New Roman"/>
                <w:b w:val="0"/>
                <w:color w:val="000000"/>
                <w:sz w:val="20"/>
              </w:rPr>
              <w:t>Existence proof in simulation</w:t>
            </w:r>
          </w:p>
        </w:tc>
        <w:tc>
          <w:tcPr>
            <w:tcW w:type="dxa" w:w="1728"/>
          </w:tcPr>
          <w:p>
            <w:pPr>
              <w:spacing w:after="20" w:before="20"/>
            </w:pPr>
            <w:r/>
            <w:r>
              <w:rPr>
                <w:rFonts w:ascii="Times New Roman" w:hAnsi="Times New Roman"/>
                <w:b w:val="0"/>
                <w:color w:val="000000"/>
                <w:sz w:val="20"/>
              </w:rPr>
              <w:t>Medium</w:t>
            </w:r>
          </w:p>
        </w:tc>
      </w:tr>
      <w:tr>
        <w:tc>
          <w:tcPr>
            <w:tcW w:type="dxa" w:w="1728"/>
          </w:tcPr>
          <w:p>
            <w:pPr>
              <w:spacing w:after="20" w:before="20"/>
            </w:pPr>
            <w:r/>
            <w:r>
              <w:rPr>
                <w:rFonts w:ascii="Times New Roman" w:hAnsi="Times New Roman"/>
                <w:b w:val="0"/>
                <w:color w:val="000000"/>
                <w:sz w:val="20"/>
              </w:rPr>
              <w:t>Cross-dataset dissociation</w:t>
            </w:r>
          </w:p>
        </w:tc>
        <w:tc>
          <w:tcPr>
            <w:tcW w:type="dxa" w:w="1728"/>
          </w:tcPr>
          <w:p>
            <w:pPr>
              <w:spacing w:after="20" w:before="20"/>
            </w:pPr>
            <w:r/>
            <w:r>
              <w:rPr>
                <w:rFonts w:ascii="Times New Roman" w:hAnsi="Times New Roman"/>
                <w:b w:val="0"/>
                <w:color w:val="000000"/>
                <w:sz w:val="20"/>
              </w:rPr>
              <w:t>Paper B</w:t>
            </w:r>
          </w:p>
        </w:tc>
        <w:tc>
          <w:tcPr>
            <w:tcW w:type="dxa" w:w="1728"/>
          </w:tcPr>
          <w:p>
            <w:pPr>
              <w:spacing w:after="20" w:before="20"/>
            </w:pPr>
            <w:r/>
            <w:r>
              <w:rPr>
                <w:rFonts w:ascii="Times New Roman" w:hAnsi="Times New Roman"/>
                <w:b w:val="0"/>
                <w:color w:val="000000"/>
                <w:sz w:val="20"/>
              </w:rPr>
              <w:t>Validated (emp.)</w:t>
            </w:r>
          </w:p>
        </w:tc>
        <w:tc>
          <w:tcPr>
            <w:tcW w:type="dxa" w:w="1728"/>
          </w:tcPr>
          <w:p>
            <w:pPr>
              <w:spacing w:after="20" w:before="20"/>
            </w:pPr>
            <w:r/>
            <w:r>
              <w:rPr>
                <w:rFonts w:ascii="Times New Roman" w:hAnsi="Times New Roman"/>
                <w:b w:val="0"/>
                <w:color w:val="000000"/>
                <w:sz w:val="20"/>
              </w:rPr>
              <w:t>Battery degradation data</w:t>
            </w:r>
          </w:p>
        </w:tc>
        <w:tc>
          <w:tcPr>
            <w:tcW w:type="dxa" w:w="1728"/>
          </w:tcPr>
          <w:p>
            <w:pPr>
              <w:spacing w:after="20" w:before="20"/>
            </w:pPr>
            <w:r/>
            <w:r>
              <w:rPr>
                <w:rFonts w:ascii="Times New Roman" w:hAnsi="Times New Roman"/>
                <w:b w:val="0"/>
                <w:color w:val="000000"/>
                <w:sz w:val="20"/>
              </w:rPr>
              <w:t>Medium</w:t>
            </w:r>
          </w:p>
        </w:tc>
      </w:tr>
      <w:tr>
        <w:tc>
          <w:tcPr>
            <w:tcW w:type="dxa" w:w="1728"/>
          </w:tcPr>
          <w:p>
            <w:pPr>
              <w:spacing w:after="20" w:before="20"/>
            </w:pPr>
            <w:r/>
            <w:r>
              <w:rPr>
                <w:rFonts w:ascii="Times New Roman" w:hAnsi="Times New Roman"/>
                <w:b w:val="0"/>
                <w:color w:val="000000"/>
                <w:sz w:val="20"/>
              </w:rPr>
              <w:t>Depletion-gated reorientation</w:t>
            </w:r>
          </w:p>
        </w:tc>
        <w:tc>
          <w:tcPr>
            <w:tcW w:type="dxa" w:w="1728"/>
          </w:tcPr>
          <w:p>
            <w:pPr>
              <w:spacing w:after="20" w:before="20"/>
            </w:pPr>
            <w:r/>
            <w:r>
              <w:rPr>
                <w:rFonts w:ascii="Times New Roman" w:hAnsi="Times New Roman"/>
                <w:b w:val="0"/>
                <w:color w:val="000000"/>
                <w:sz w:val="20"/>
              </w:rPr>
              <w:t>Paper C</w:t>
            </w:r>
          </w:p>
        </w:tc>
        <w:tc>
          <w:tcPr>
            <w:tcW w:type="dxa" w:w="1728"/>
          </w:tcPr>
          <w:p>
            <w:pPr>
              <w:spacing w:after="20" w:before="20"/>
            </w:pPr>
            <w:r/>
            <w:r>
              <w:rPr>
                <w:rFonts w:ascii="Times New Roman" w:hAnsi="Times New Roman"/>
                <w:b w:val="0"/>
                <w:color w:val="000000"/>
                <w:sz w:val="20"/>
              </w:rPr>
              <w:t>Validated (scoped)</w:t>
            </w:r>
          </w:p>
        </w:tc>
        <w:tc>
          <w:tcPr>
            <w:tcW w:type="dxa" w:w="1728"/>
          </w:tcPr>
          <w:p>
            <w:pPr>
              <w:spacing w:after="20" w:before="20"/>
            </w:pPr>
            <w:r/>
            <w:r>
              <w:rPr>
                <w:rFonts w:ascii="Times New Roman" w:hAnsi="Times New Roman"/>
                <w:b w:val="0"/>
                <w:color w:val="000000"/>
                <w:sz w:val="20"/>
              </w:rPr>
              <w:t>Foraging mechanism</w:t>
            </w:r>
          </w:p>
        </w:tc>
        <w:tc>
          <w:tcPr>
            <w:tcW w:type="dxa" w:w="1728"/>
          </w:tcPr>
          <w:p>
            <w:pPr>
              <w:spacing w:after="20" w:before="20"/>
            </w:pPr>
            <w:r/>
            <w:r>
              <w:rPr>
                <w:rFonts w:ascii="Times New Roman" w:hAnsi="Times New Roman"/>
                <w:b w:val="0"/>
                <w:color w:val="000000"/>
                <w:sz w:val="20"/>
              </w:rPr>
              <w:t>Medium</w:t>
            </w:r>
          </w:p>
        </w:tc>
      </w:tr>
      <w:tr>
        <w:tc>
          <w:tcPr>
            <w:tcW w:type="dxa" w:w="1728"/>
          </w:tcPr>
          <w:p>
            <w:pPr>
              <w:spacing w:after="20" w:before="20"/>
            </w:pPr>
            <w:r/>
            <w:r>
              <w:rPr>
                <w:rFonts w:ascii="Times New Roman" w:hAnsi="Times New Roman"/>
                <w:b w:val="0"/>
                <w:color w:val="000000"/>
                <w:sz w:val="20"/>
              </w:rPr>
              <w:t>Q1 internal orientation</w:t>
            </w:r>
          </w:p>
        </w:tc>
        <w:tc>
          <w:tcPr>
            <w:tcW w:type="dxa" w:w="1728"/>
          </w:tcPr>
          <w:p>
            <w:pPr>
              <w:spacing w:after="20" w:before="20"/>
            </w:pPr>
            <w:r/>
            <w:r>
              <w:rPr>
                <w:rFonts w:ascii="Times New Roman" w:hAnsi="Times New Roman"/>
                <w:b w:val="0"/>
                <w:color w:val="000000"/>
                <w:sz w:val="20"/>
              </w:rPr>
              <w:t>—</w:t>
            </w:r>
          </w:p>
        </w:tc>
        <w:tc>
          <w:tcPr>
            <w:tcW w:type="dxa" w:w="1728"/>
          </w:tcPr>
          <w:p>
            <w:pPr>
              <w:spacing w:after="20" w:before="20"/>
            </w:pPr>
            <w:r/>
            <w:r>
              <w:rPr>
                <w:rFonts w:ascii="Times New Roman" w:hAnsi="Times New Roman"/>
                <w:b w:val="0"/>
                <w:color w:val="000000"/>
                <w:sz w:val="20"/>
              </w:rPr>
              <w:t>Not yet validated</w:t>
            </w:r>
          </w:p>
        </w:tc>
        <w:tc>
          <w:tcPr>
            <w:tcW w:type="dxa" w:w="1728"/>
          </w:tcPr>
          <w:p>
            <w:pPr>
              <w:spacing w:after="20" w:before="20"/>
            </w:pPr>
            <w:r/>
            <w:r>
              <w:rPr>
                <w:rFonts w:ascii="Times New Roman" w:hAnsi="Times New Roman"/>
                <w:b w:val="0"/>
                <w:color w:val="000000"/>
                <w:sz w:val="20"/>
              </w:rPr>
              <w:t>Requires process-tracing</w:t>
            </w:r>
          </w:p>
        </w:tc>
        <w:tc>
          <w:tcPr>
            <w:tcW w:type="dxa" w:w="1728"/>
          </w:tcPr>
          <w:p>
            <w:pPr>
              <w:spacing w:after="20" w:before="20"/>
            </w:pPr>
            <w:r/>
            <w:r>
              <w:rPr>
                <w:rFonts w:ascii="Times New Roman" w:hAnsi="Times New Roman"/>
                <w:b w:val="0"/>
                <w:color w:val="000000"/>
                <w:sz w:val="20"/>
              </w:rPr>
              <w:t>Low</w:t>
            </w:r>
          </w:p>
        </w:tc>
      </w:tr>
      <w:tr>
        <w:tc>
          <w:tcPr>
            <w:tcW w:type="dxa" w:w="1728"/>
          </w:tcPr>
          <w:p>
            <w:pPr>
              <w:spacing w:after="20" w:before="20"/>
            </w:pPr>
            <w:r/>
            <w:r>
              <w:rPr>
                <w:rFonts w:ascii="Times New Roman" w:hAnsi="Times New Roman"/>
                <w:b w:val="0"/>
                <w:color w:val="000000"/>
                <w:sz w:val="20"/>
              </w:rPr>
              <w:t>Q4A deployment continuation</w:t>
            </w:r>
          </w:p>
        </w:tc>
        <w:tc>
          <w:tcPr>
            <w:tcW w:type="dxa" w:w="1728"/>
          </w:tcPr>
          <w:p>
            <w:pPr>
              <w:spacing w:after="20" w:before="20"/>
            </w:pPr>
            <w:r/>
            <w:r>
              <w:rPr>
                <w:rFonts w:ascii="Times New Roman" w:hAnsi="Times New Roman"/>
                <w:b w:val="0"/>
                <w:color w:val="000000"/>
                <w:sz w:val="20"/>
              </w:rPr>
              <w:t>—</w:t>
            </w:r>
          </w:p>
        </w:tc>
        <w:tc>
          <w:tcPr>
            <w:tcW w:type="dxa" w:w="1728"/>
          </w:tcPr>
          <w:p>
            <w:pPr>
              <w:spacing w:after="20" w:before="20"/>
            </w:pPr>
            <w:r/>
            <w:r>
              <w:rPr>
                <w:rFonts w:ascii="Times New Roman" w:hAnsi="Times New Roman"/>
                <w:b w:val="0"/>
                <w:color w:val="000000"/>
                <w:sz w:val="20"/>
              </w:rPr>
              <w:t>Not yet validated</w:t>
            </w:r>
          </w:p>
        </w:tc>
        <w:tc>
          <w:tcPr>
            <w:tcW w:type="dxa" w:w="1728"/>
          </w:tcPr>
          <w:p>
            <w:pPr>
              <w:spacing w:after="20" w:before="20"/>
            </w:pPr>
            <w:r/>
            <w:r>
              <w:rPr>
                <w:rFonts w:ascii="Times New Roman" w:hAnsi="Times New Roman"/>
                <w:b w:val="0"/>
                <w:color w:val="000000"/>
                <w:sz w:val="20"/>
              </w:rPr>
              <w:t>Requires multi-stage tracking</w:t>
            </w:r>
          </w:p>
        </w:tc>
        <w:tc>
          <w:tcPr>
            <w:tcW w:type="dxa" w:w="1728"/>
          </w:tcPr>
          <w:p>
            <w:pPr>
              <w:spacing w:after="20" w:before="20"/>
            </w:pPr>
            <w:r/>
            <w:r>
              <w:rPr>
                <w:rFonts w:ascii="Times New Roman" w:hAnsi="Times New Roman"/>
                <w:b w:val="0"/>
                <w:color w:val="000000"/>
                <w:sz w:val="20"/>
              </w:rPr>
              <w:t>Low</w:t>
            </w:r>
          </w:p>
        </w:tc>
      </w:tr>
      <w:tr>
        <w:tc>
          <w:tcPr>
            <w:tcW w:type="dxa" w:w="1728"/>
          </w:tcPr>
          <w:p>
            <w:pPr>
              <w:spacing w:after="20" w:before="20"/>
            </w:pPr>
            <w:r/>
            <w:r>
              <w:rPr>
                <w:rFonts w:ascii="Times New Roman" w:hAnsi="Times New Roman"/>
                <w:b w:val="0"/>
                <w:color w:val="000000"/>
                <w:sz w:val="20"/>
              </w:rPr>
              <w:t>EIL (interlocking loop)</w:t>
            </w:r>
          </w:p>
        </w:tc>
        <w:tc>
          <w:tcPr>
            <w:tcW w:type="dxa" w:w="1728"/>
          </w:tcPr>
          <w:p>
            <w:pPr>
              <w:spacing w:after="20" w:before="20"/>
            </w:pPr>
            <w:r/>
            <w:r>
              <w:rPr>
                <w:rFonts w:ascii="Times New Roman" w:hAnsi="Times New Roman"/>
                <w:b w:val="0"/>
                <w:color w:val="000000"/>
                <w:sz w:val="20"/>
              </w:rPr>
              <w:t>—</w:t>
            </w:r>
          </w:p>
        </w:tc>
        <w:tc>
          <w:tcPr>
            <w:tcW w:type="dxa" w:w="1728"/>
          </w:tcPr>
          <w:p>
            <w:pPr>
              <w:spacing w:after="20" w:before="20"/>
            </w:pPr>
            <w:r/>
            <w:r>
              <w:rPr>
                <w:rFonts w:ascii="Times New Roman" w:hAnsi="Times New Roman"/>
                <w:b w:val="0"/>
                <w:color w:val="000000"/>
                <w:sz w:val="20"/>
              </w:rPr>
              <w:t>Not yet validated</w:t>
            </w:r>
          </w:p>
        </w:tc>
        <w:tc>
          <w:tcPr>
            <w:tcW w:type="dxa" w:w="1728"/>
          </w:tcPr>
          <w:p>
            <w:pPr>
              <w:spacing w:after="20" w:before="20"/>
            </w:pPr>
            <w:r/>
            <w:r>
              <w:rPr>
                <w:rFonts w:ascii="Times New Roman" w:hAnsi="Times New Roman"/>
                <w:b w:val="0"/>
                <w:color w:val="000000"/>
                <w:sz w:val="20"/>
              </w:rPr>
              <w:t>Theoretical, hard to measure</w:t>
            </w:r>
          </w:p>
        </w:tc>
        <w:tc>
          <w:tcPr>
            <w:tcW w:type="dxa" w:w="1728"/>
          </w:tcPr>
          <w:p>
            <w:pPr>
              <w:spacing w:after="20" w:before="20"/>
            </w:pPr>
            <w:r/>
            <w:r>
              <w:rPr>
                <w:rFonts w:ascii="Times New Roman" w:hAnsi="Times New Roman"/>
                <w:b w:val="0"/>
                <w:color w:val="000000"/>
                <w:sz w:val="20"/>
              </w:rPr>
              <w:t>Low</w:t>
            </w:r>
          </w:p>
        </w:tc>
      </w:tr>
      <w:tr>
        <w:tc>
          <w:tcPr>
            <w:tcW w:type="dxa" w:w="1728"/>
          </w:tcPr>
          <w:p>
            <w:pPr>
              <w:spacing w:after="20" w:before="20"/>
            </w:pPr>
            <w:r/>
            <w:r>
              <w:rPr>
                <w:rFonts w:ascii="Times New Roman" w:hAnsi="Times New Roman"/>
                <w:b w:val="0"/>
                <w:color w:val="000000"/>
                <w:sz w:val="20"/>
              </w:rPr>
              <w:t>Full 4-operator validation</w:t>
            </w:r>
          </w:p>
        </w:tc>
        <w:tc>
          <w:tcPr>
            <w:tcW w:type="dxa" w:w="1728"/>
          </w:tcPr>
          <w:p>
            <w:pPr>
              <w:spacing w:after="20" w:before="20"/>
            </w:pPr>
            <w:r/>
            <w:r>
              <w:rPr>
                <w:rFonts w:ascii="Times New Roman" w:hAnsi="Times New Roman"/>
                <w:b w:val="0"/>
                <w:color w:val="000000"/>
                <w:sz w:val="20"/>
              </w:rPr>
              <w:t>—</w:t>
            </w:r>
          </w:p>
        </w:tc>
        <w:tc>
          <w:tcPr>
            <w:tcW w:type="dxa" w:w="1728"/>
          </w:tcPr>
          <w:p>
            <w:pPr>
              <w:spacing w:after="20" w:before="20"/>
            </w:pPr>
            <w:r/>
            <w:r>
              <w:rPr>
                <w:rFonts w:ascii="Times New Roman" w:hAnsi="Times New Roman"/>
                <w:b w:val="0"/>
                <w:color w:val="000000"/>
                <w:sz w:val="20"/>
              </w:rPr>
              <w:t>Partial (3/4)</w:t>
            </w:r>
          </w:p>
        </w:tc>
        <w:tc>
          <w:tcPr>
            <w:tcW w:type="dxa" w:w="1728"/>
          </w:tcPr>
          <w:p>
            <w:pPr>
              <w:spacing w:after="20" w:before="20"/>
            </w:pPr>
            <w:r/>
            <w:r>
              <w:rPr>
                <w:rFonts w:ascii="Times New Roman" w:hAnsi="Times New Roman"/>
                <w:b w:val="0"/>
                <w:color w:val="000000"/>
                <w:sz w:val="20"/>
              </w:rPr>
              <w:t>B_in not independently tested</w:t>
            </w:r>
          </w:p>
        </w:tc>
        <w:tc>
          <w:tcPr>
            <w:tcW w:type="dxa" w:w="1728"/>
          </w:tcPr>
          <w:p>
            <w:pPr>
              <w:spacing w:after="20" w:before="20"/>
            </w:pPr>
            <w:r/>
            <w:r>
              <w:rPr>
                <w:rFonts w:ascii="Times New Roman" w:hAnsi="Times New Roman"/>
                <w:b w:val="0"/>
                <w:color w:val="000000"/>
                <w:sz w:val="20"/>
              </w:rPr>
              <w:t>Medium–Low</w:t>
            </w:r>
          </w:p>
        </w:tc>
      </w:tr>
      <w:tr>
        <w:tc>
          <w:tcPr>
            <w:tcW w:type="dxa" w:w="1728"/>
          </w:tcPr>
          <w:p>
            <w:pPr>
              <w:spacing w:after="20" w:before="20"/>
            </w:pPr>
            <w:r/>
            <w:r>
              <w:rPr>
                <w:rFonts w:ascii="Times New Roman" w:hAnsi="Times New Roman"/>
                <w:b w:val="0"/>
                <w:color w:val="000000"/>
                <w:sz w:val="20"/>
              </w:rPr>
              <w:t>Non-institutional generalization</w:t>
            </w:r>
          </w:p>
        </w:tc>
        <w:tc>
          <w:tcPr>
            <w:tcW w:type="dxa" w:w="1728"/>
          </w:tcPr>
          <w:p>
            <w:pPr>
              <w:spacing w:after="20" w:before="20"/>
            </w:pPr>
            <w:r/>
            <w:r>
              <w:rPr>
                <w:rFonts w:ascii="Times New Roman" w:hAnsi="Times New Roman"/>
                <w:b w:val="0"/>
                <w:color w:val="000000"/>
                <w:sz w:val="20"/>
              </w:rPr>
              <w:t>—</w:t>
            </w:r>
          </w:p>
        </w:tc>
        <w:tc>
          <w:tcPr>
            <w:tcW w:type="dxa" w:w="1728"/>
          </w:tcPr>
          <w:p>
            <w:pPr>
              <w:spacing w:after="20" w:before="20"/>
            </w:pPr>
            <w:r/>
            <w:r>
              <w:rPr>
                <w:rFonts w:ascii="Times New Roman" w:hAnsi="Times New Roman"/>
                <w:b w:val="0"/>
                <w:color w:val="000000"/>
                <w:sz w:val="20"/>
              </w:rPr>
              <w:t>Not yet tested</w:t>
            </w:r>
          </w:p>
        </w:tc>
        <w:tc>
          <w:tcPr>
            <w:tcW w:type="dxa" w:w="1728"/>
          </w:tcPr>
          <w:p>
            <w:pPr>
              <w:spacing w:after="20" w:before="20"/>
            </w:pPr>
            <w:r/>
            <w:r>
              <w:rPr>
                <w:rFonts w:ascii="Times New Roman" w:hAnsi="Times New Roman"/>
                <w:b w:val="0"/>
                <w:color w:val="000000"/>
                <w:sz w:val="20"/>
              </w:rPr>
              <w:t>Biological/ecological future work</w:t>
            </w:r>
          </w:p>
        </w:tc>
        <w:tc>
          <w:tcPr>
            <w:tcW w:type="dxa" w:w="1728"/>
          </w:tcPr>
          <w:p>
            <w:pPr>
              <w:spacing w:after="20" w:before="20"/>
            </w:pPr>
            <w:r/>
            <w:r>
              <w:rPr>
                <w:rFonts w:ascii="Times New Roman" w:hAnsi="Times New Roman"/>
                <w:b w:val="0"/>
                <w:color w:val="000000"/>
                <w:sz w:val="20"/>
              </w:rPr>
              <w:t>Open</w:t>
            </w:r>
          </w:p>
        </w:tc>
      </w:tr>
    </w:tbl>
    <w:p>
      <w:pPr>
        <w:spacing w:after="80" w:before="160"/>
      </w:pPr>
      <w:r>
        <w:rPr>
          <w:rFonts w:ascii="Times New Roman" w:hAnsi="Times New Roman"/>
          <w:b/>
          <w:i w:val="0"/>
          <w:color w:val="2F5496"/>
          <w:sz w:val="24"/>
        </w:rPr>
        <w:t>3.1 How Confidence Levels Are Assigned</w:t>
      </w:r>
    </w:p>
    <w:p>
      <w:pPr>
        <w:spacing w:after="60"/>
      </w:pPr>
      <w:r>
        <w:rPr>
          <w:rFonts w:ascii="Times New Roman" w:hAnsi="Times New Roman"/>
          <w:b w:val="0"/>
          <w:i w:val="0"/>
          <w:color w:val="000000"/>
          <w:sz w:val="22"/>
        </w:rPr>
        <w:t>Confidence levels in Table 1 are assigned according to the following criteria:</w:t>
      </w:r>
    </w:p>
    <w:p>
      <w:pPr>
        <w:spacing w:after="60"/>
      </w:pPr>
      <w:r>
        <w:rPr>
          <w:rFonts w:ascii="Times New Roman" w:hAnsi="Times New Roman"/>
          <w:b w:val="0"/>
          <w:i w:val="0"/>
          <w:color w:val="000000"/>
          <w:sz w:val="22"/>
        </w:rPr>
        <w:t>• High: Replicated across two or more independent domains with holdout validation and rival model defeat. The result survives permutation tests, confound controls, and cross-domain replication.</w:t>
      </w:r>
    </w:p>
    <w:p>
      <w:pPr>
        <w:spacing w:after="60"/>
      </w:pPr>
      <w:r>
        <w:rPr>
          <w:rFonts w:ascii="Times New Roman" w:hAnsi="Times New Roman"/>
          <w:b w:val="0"/>
          <w:i w:val="0"/>
          <w:color w:val="000000"/>
          <w:sz w:val="22"/>
        </w:rPr>
        <w:t>• Medium: Demonstrated in one domain or in simulation with robustness checks. The result is internally consistent and survives basic controls, but has not yet been independently replicated across domains.</w:t>
      </w:r>
    </w:p>
    <w:p>
      <w:pPr>
        <w:spacing w:after="60"/>
      </w:pPr>
      <w:r>
        <w:rPr>
          <w:rFonts w:ascii="Times New Roman" w:hAnsi="Times New Roman"/>
          <w:b w:val="0"/>
          <w:i w:val="0"/>
          <w:color w:val="000000"/>
          <w:sz w:val="22"/>
        </w:rPr>
        <w:t>• Low: Theoretically predicted by the TFP framework but not yet empirically tested, or tested only indirectly.</w:t>
      </w:r>
    </w:p>
    <w:p>
      <w:pPr>
        <w:spacing w:after="60"/>
      </w:pPr>
      <w:r>
        <w:rPr>
          <w:rFonts w:ascii="Times New Roman" w:hAnsi="Times New Roman"/>
          <w:b w:val="0"/>
          <w:i w:val="0"/>
          <w:color w:val="000000"/>
          <w:sz w:val="22"/>
        </w:rPr>
        <w:t>• Open: Identified as a testable prediction but no data have been collected. These represent future research directions rather than current claims.</w:t>
      </w:r>
    </w:p>
    <w:p>
      <w:pPr>
        <w:spacing w:after="120" w:before="240"/>
      </w:pPr>
      <w:r>
        <w:rPr>
          <w:rFonts w:ascii="Times New Roman" w:hAnsi="Times New Roman"/>
          <w:b/>
          <w:i w:val="0"/>
          <w:color w:val="2F5496"/>
          <w:sz w:val="28"/>
        </w:rPr>
        <w:t>4. The Canonical Invariant Hierarchy</w:t>
      </w:r>
    </w:p>
    <w:p>
      <w:pPr>
        <w:spacing w:after="60"/>
      </w:pPr>
      <w:r>
        <w:rPr>
          <w:rFonts w:ascii="Times New Roman" w:hAnsi="Times New Roman"/>
          <w:b w:val="0"/>
          <w:i w:val="0"/>
          <w:color w:val="000000"/>
          <w:sz w:val="22"/>
        </w:rPr>
        <w:t>TFP's claims are not equally strong. The following hierarchy ranks them by empirical support, from the most robustly validated to the most speculative.</w:t>
      </w:r>
    </w:p>
    <w:p>
      <w:pPr>
        <w:spacing w:after="40" w:before="120"/>
      </w:pPr>
      <w:r>
        <w:rPr>
          <w:rFonts w:ascii="Times New Roman" w:hAnsi="Times New Roman"/>
          <w:b/>
          <w:i w:val="0"/>
          <w:color w:val="000000"/>
          <w:sz w:val="22"/>
        </w:rPr>
        <w:t>Level 1 (Strongest): Stage Non-Interchangeability and Transition Topology</w:t>
      </w:r>
    </w:p>
    <w:p>
      <w:pPr>
        <w:spacing w:after="60"/>
      </w:pPr>
      <w:r>
        <w:rPr>
          <w:rFonts w:ascii="Times New Roman" w:hAnsi="Times New Roman"/>
          <w:b w:val="0"/>
          <w:i w:val="0"/>
          <w:color w:val="000000"/>
          <w:sz w:val="22"/>
        </w:rPr>
        <w:t>The functions performed at each lifecycle stage are not interchangeable. Permuting stage–operator assignments destroys the signal. Transitions follow a directed topology (Q2→Q3, not Q3→Q2). Supported by: Paper 4 (asymmetry index, structural opposition) and Paper 5 (permutation search, wrong-mapping collapse across 4 domains).</w:t>
      </w:r>
    </w:p>
    <w:p>
      <w:pPr>
        <w:spacing w:after="40" w:before="120"/>
      </w:pPr>
      <w:r>
        <w:rPr>
          <w:rFonts w:ascii="Times New Roman" w:hAnsi="Times New Roman"/>
          <w:b/>
          <w:i w:val="0"/>
          <w:color w:val="000000"/>
          <w:sz w:val="22"/>
        </w:rPr>
        <w:t>Level 2 (Strong): Viability-Gated Q4 Bifurcation and Reseeding Structure</w:t>
      </w:r>
    </w:p>
    <w:p>
      <w:pPr>
        <w:spacing w:after="60"/>
      </w:pPr>
      <w:r>
        <w:rPr>
          <w:rFonts w:ascii="Times New Roman" w:hAnsi="Times New Roman"/>
          <w:b w:val="0"/>
          <w:i w:val="0"/>
          <w:color w:val="000000"/>
          <w:sz w:val="22"/>
        </w:rPr>
        <w:t>Q4 bifurcates into continuation (Q4A) and reseeding (Q4B) based on a viability gate. Post-failure reseeding returns the system to earlier lifecycle functions rather than simply restarting. Supported by: Paper 4 (p = 3.9e−83, 20/20 participants) and Paper C (depletion-gated reorientation in foraging).</w:t>
      </w:r>
    </w:p>
    <w:p>
      <w:pPr>
        <w:spacing w:after="40" w:before="120"/>
      </w:pPr>
      <w:r>
        <w:rPr>
          <w:rFonts w:ascii="Times New Roman" w:hAnsi="Times New Roman"/>
          <w:b/>
          <w:i w:val="0"/>
          <w:color w:val="000000"/>
          <w:sz w:val="22"/>
        </w:rPr>
        <w:t>Level 3 (Supported): Stage-Specific Operator Binding</w:t>
      </w:r>
    </w:p>
    <w:p>
      <w:pPr>
        <w:spacing w:after="60"/>
      </w:pPr>
      <w:r>
        <w:rPr>
          <w:rFonts w:ascii="Times New Roman" w:hAnsi="Times New Roman"/>
          <w:b w:val="0"/>
          <w:i w:val="0"/>
          <w:color w:val="000000"/>
          <w:sz w:val="22"/>
        </w:rPr>
        <w:t>Each lifecycle stage is governed by a specific information operator. Three of four operators (E_out, E_in, B_out) have been independently validated across multiple domains. B_in has not been independently tested. Supported by: Paper 5 (operator–stage binding across 4 institutional domains).</w:t>
      </w:r>
    </w:p>
    <w:p>
      <w:pPr>
        <w:spacing w:after="40" w:before="120"/>
      </w:pPr>
      <w:r>
        <w:rPr>
          <w:rFonts w:ascii="Times New Roman" w:hAnsi="Times New Roman"/>
          <w:b/>
          <w:i w:val="0"/>
          <w:color w:val="000000"/>
          <w:sz w:val="22"/>
        </w:rPr>
        <w:t>Level 4 (Proposed): Full Grammar, EIL Dynamics, Cross-Scale Isomorphism</w:t>
      </w:r>
    </w:p>
    <w:p>
      <w:pPr>
        <w:spacing w:after="60"/>
      </w:pPr>
      <w:r>
        <w:rPr>
          <w:rFonts w:ascii="Times New Roman" w:hAnsi="Times New Roman"/>
          <w:b w:val="0"/>
          <w:i w:val="0"/>
          <w:color w:val="000000"/>
          <w:sz w:val="22"/>
        </w:rPr>
        <w:t>The complete four-operator grammar, the Emergent Interlocking Loop (EIL) dynamics, and the prediction that the same lifecycle structure appears at micro, meso, and macro scales. These are theoretical predictions with limited or no direct empirical support to date.</w:t>
      </w:r>
    </w:p>
    <w:p>
      <w:pPr>
        <w:spacing w:after="120" w:before="240"/>
      </w:pPr>
      <w:r>
        <w:rPr>
          <w:rFonts w:ascii="Times New Roman" w:hAnsi="Times New Roman"/>
          <w:b/>
          <w:i w:val="0"/>
          <w:color w:val="2F5496"/>
          <w:sz w:val="28"/>
        </w:rPr>
        <w:t>5. Canonical Operational Definitions (v1.0)</w:t>
      </w:r>
    </w:p>
    <w:p>
      <w:pPr>
        <w:spacing w:after="60"/>
      </w:pPr>
      <w:r>
        <w:rPr>
          <w:rFonts w:ascii="Times New Roman" w:hAnsi="Times New Roman"/>
          <w:b w:val="0"/>
          <w:i w:val="0"/>
          <w:color w:val="000000"/>
          <w:sz w:val="22"/>
        </w:rPr>
        <w:t>Table 2 provides the canonical operational definitions used across all TFP papers. These definitions represent version 1.0 of the measurement framework. Three of four operators (E_out, E_in, B_out) have been validated across multiple institutional domains; B_in has not been independently tested. Future revisions would require explicit justification and versioning.</w:t>
      </w:r>
    </w:p>
    <w:p>
      <w:pPr>
        <w:spacing w:after="80"/>
      </w:pPr>
      <w:r>
        <w:rPr>
          <w:rFonts w:ascii="Times New Roman" w:hAnsi="Times New Roman"/>
          <w:b/>
          <w:i/>
          <w:color w:val="000000"/>
          <w:sz w:val="20"/>
        </w:rPr>
        <w:t>Table 2. TFP Information Operators (v1.0)</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28"/>
        <w:gridCol w:w="1728"/>
        <w:gridCol w:w="1728"/>
        <w:gridCol w:w="1728"/>
        <w:gridCol w:w="1728"/>
      </w:tblGrid>
      <w:tr>
        <w:tc>
          <w:tcPr>
            <w:tcW w:type="dxa" w:w="1728"/>
            <w:shd w:fill="D9E2F3" w:val="clear"/>
          </w:tcPr>
          <w:p>
            <w:pPr>
              <w:spacing w:after="20" w:before="20"/>
            </w:pPr>
            <w:r/>
            <w:r>
              <w:rPr>
                <w:rFonts w:ascii="Times New Roman" w:hAnsi="Times New Roman"/>
                <w:b/>
                <w:color w:val="000000"/>
                <w:sz w:val="20"/>
              </w:rPr>
              <w:t>Operator</w:t>
            </w:r>
          </w:p>
        </w:tc>
        <w:tc>
          <w:tcPr>
            <w:tcW w:type="dxa" w:w="1728"/>
            <w:shd w:fill="D9E2F3" w:val="clear"/>
          </w:tcPr>
          <w:p>
            <w:pPr>
              <w:spacing w:after="20" w:before="20"/>
            </w:pPr>
            <w:r/>
            <w:r>
              <w:rPr>
                <w:rFonts w:ascii="Times New Roman" w:hAnsi="Times New Roman"/>
                <w:b/>
                <w:color w:val="000000"/>
                <w:sz w:val="20"/>
              </w:rPr>
              <w:t>Symbol</w:t>
            </w:r>
          </w:p>
        </w:tc>
        <w:tc>
          <w:tcPr>
            <w:tcW w:type="dxa" w:w="1728"/>
            <w:shd w:fill="D9E2F3" w:val="clear"/>
          </w:tcPr>
          <w:p>
            <w:pPr>
              <w:spacing w:after="20" w:before="20"/>
            </w:pPr>
            <w:r/>
            <w:r>
              <w:rPr>
                <w:rFonts w:ascii="Times New Roman" w:hAnsi="Times New Roman"/>
                <w:b/>
                <w:color w:val="000000"/>
                <w:sz w:val="20"/>
              </w:rPr>
              <w:t>Definition</w:t>
            </w:r>
          </w:p>
        </w:tc>
        <w:tc>
          <w:tcPr>
            <w:tcW w:type="dxa" w:w="1728"/>
            <w:shd w:fill="D9E2F3" w:val="clear"/>
          </w:tcPr>
          <w:p>
            <w:pPr>
              <w:spacing w:after="20" w:before="20"/>
            </w:pPr>
            <w:r/>
            <w:r>
              <w:rPr>
                <w:rFonts w:ascii="Times New Roman" w:hAnsi="Times New Roman"/>
                <w:b/>
                <w:color w:val="000000"/>
                <w:sz w:val="20"/>
              </w:rPr>
              <w:t>Measurable As</w:t>
            </w:r>
          </w:p>
        </w:tc>
        <w:tc>
          <w:tcPr>
            <w:tcW w:type="dxa" w:w="1728"/>
            <w:shd w:fill="D9E2F3" w:val="clear"/>
          </w:tcPr>
          <w:p>
            <w:pPr>
              <w:spacing w:after="20" w:before="20"/>
            </w:pPr>
            <w:r/>
            <w:r>
              <w:rPr>
                <w:rFonts w:ascii="Times New Roman" w:hAnsi="Times New Roman"/>
                <w:b/>
                <w:color w:val="000000"/>
                <w:sz w:val="20"/>
              </w:rPr>
              <w:t>Validation Status</w:t>
            </w:r>
          </w:p>
        </w:tc>
      </w:tr>
      <w:tr>
        <w:tc>
          <w:tcPr>
            <w:tcW w:type="dxa" w:w="1728"/>
          </w:tcPr>
          <w:p>
            <w:pPr>
              <w:spacing w:after="20" w:before="20"/>
            </w:pPr>
            <w:r/>
            <w:r>
              <w:rPr>
                <w:rFonts w:ascii="Times New Roman" w:hAnsi="Times New Roman"/>
                <w:b w:val="0"/>
                <w:color w:val="000000"/>
                <w:sz w:val="20"/>
              </w:rPr>
              <w:t>B_in</w:t>
            </w:r>
          </w:p>
        </w:tc>
        <w:tc>
          <w:tcPr>
            <w:tcW w:type="dxa" w:w="1728"/>
          </w:tcPr>
          <w:p>
            <w:pPr>
              <w:spacing w:after="20" w:before="20"/>
            </w:pPr>
            <w:r/>
            <w:r>
              <w:rPr>
                <w:rFonts w:ascii="Times New Roman" w:hAnsi="Times New Roman"/>
                <w:b w:val="0"/>
                <w:color w:val="000000"/>
                <w:sz w:val="20"/>
              </w:rPr>
              <w:t>Di</w:t>
            </w:r>
          </w:p>
        </w:tc>
        <w:tc>
          <w:tcPr>
            <w:tcW w:type="dxa" w:w="1728"/>
          </w:tcPr>
          <w:p>
            <w:pPr>
              <w:spacing w:after="20" w:before="20"/>
            </w:pPr>
            <w:r/>
            <w:r>
              <w:rPr>
                <w:rFonts w:ascii="Times New Roman" w:hAnsi="Times New Roman"/>
                <w:b w:val="0"/>
                <w:color w:val="000000"/>
                <w:sz w:val="20"/>
              </w:rPr>
              <w:t>Sticky internal reference resistant to change</w:t>
            </w:r>
          </w:p>
        </w:tc>
        <w:tc>
          <w:tcPr>
            <w:tcW w:type="dxa" w:w="1728"/>
          </w:tcPr>
          <w:p>
            <w:pPr>
              <w:spacing w:after="20" w:before="20"/>
            </w:pPr>
            <w:r/>
            <w:r>
              <w:rPr>
                <w:rFonts w:ascii="Times New Roman" w:hAnsi="Times New Roman"/>
                <w:b w:val="0"/>
                <w:color w:val="000000"/>
                <w:sz w:val="20"/>
              </w:rPr>
              <w:t>Revision rate decline, protocol stability, self-citation persistence</w:t>
            </w:r>
          </w:p>
        </w:tc>
        <w:tc>
          <w:tcPr>
            <w:tcW w:type="dxa" w:w="1728"/>
          </w:tcPr>
          <w:p>
            <w:pPr>
              <w:spacing w:after="20" w:before="20"/>
            </w:pPr>
            <w:r/>
            <w:r>
              <w:rPr>
                <w:rFonts w:ascii="Times New Roman" w:hAnsi="Times New Roman"/>
                <w:b w:val="0"/>
                <w:color w:val="000000"/>
                <w:sz w:val="20"/>
              </w:rPr>
              <w:t>Not independently tested</w:t>
            </w:r>
          </w:p>
        </w:tc>
      </w:tr>
      <w:tr>
        <w:tc>
          <w:tcPr>
            <w:tcW w:type="dxa" w:w="1728"/>
          </w:tcPr>
          <w:p>
            <w:pPr>
              <w:spacing w:after="20" w:before="20"/>
            </w:pPr>
            <w:r/>
            <w:r>
              <w:rPr>
                <w:rFonts w:ascii="Times New Roman" w:hAnsi="Times New Roman"/>
                <w:b w:val="0"/>
                <w:color w:val="000000"/>
                <w:sz w:val="20"/>
              </w:rPr>
              <w:t>E_out</w:t>
            </w:r>
          </w:p>
        </w:tc>
        <w:tc>
          <w:tcPr>
            <w:tcW w:type="dxa" w:w="1728"/>
          </w:tcPr>
          <w:p>
            <w:pPr>
              <w:spacing w:after="20" w:before="20"/>
            </w:pPr>
            <w:r/>
            <w:r>
              <w:rPr>
                <w:rFonts w:ascii="Times New Roman" w:hAnsi="Times New Roman"/>
                <w:b w:val="0"/>
                <w:color w:val="000000"/>
                <w:sz w:val="20"/>
              </w:rPr>
              <w:t>Oe</w:t>
            </w:r>
          </w:p>
        </w:tc>
        <w:tc>
          <w:tcPr>
            <w:tcW w:type="dxa" w:w="1728"/>
          </w:tcPr>
          <w:p>
            <w:pPr>
              <w:spacing w:after="20" w:before="20"/>
            </w:pPr>
            <w:r/>
            <w:r>
              <w:rPr>
                <w:rFonts w:ascii="Times New Roman" w:hAnsi="Times New Roman"/>
                <w:b w:val="0"/>
                <w:color w:val="000000"/>
                <w:sz w:val="20"/>
              </w:rPr>
              <w:t>Broad scanning, channel-changing, gathering novelty</w:t>
            </w:r>
          </w:p>
        </w:tc>
        <w:tc>
          <w:tcPr>
            <w:tcW w:type="dxa" w:w="1728"/>
          </w:tcPr>
          <w:p>
            <w:pPr>
              <w:spacing w:after="20" w:before="20"/>
            </w:pPr>
            <w:r/>
            <w:r>
              <w:rPr>
                <w:rFonts w:ascii="Times New Roman" w:hAnsi="Times New Roman"/>
                <w:b w:val="0"/>
                <w:color w:val="000000"/>
                <w:sz w:val="20"/>
              </w:rPr>
              <w:t>Cross-references, collaborator count, comment volume</w:t>
            </w:r>
          </w:p>
        </w:tc>
        <w:tc>
          <w:tcPr>
            <w:tcW w:type="dxa" w:w="1728"/>
          </w:tcPr>
          <w:p>
            <w:pPr>
              <w:spacing w:after="20" w:before="20"/>
            </w:pPr>
            <w:r/>
            <w:r>
              <w:rPr>
                <w:rFonts w:ascii="Times New Roman" w:hAnsi="Times New Roman"/>
                <w:b w:val="0"/>
                <w:color w:val="000000"/>
                <w:sz w:val="20"/>
              </w:rPr>
              <w:t>Validated (4 domains)</w:t>
            </w:r>
          </w:p>
        </w:tc>
      </w:tr>
      <w:tr>
        <w:tc>
          <w:tcPr>
            <w:tcW w:type="dxa" w:w="1728"/>
          </w:tcPr>
          <w:p>
            <w:pPr>
              <w:spacing w:after="20" w:before="20"/>
            </w:pPr>
            <w:r/>
            <w:r>
              <w:rPr>
                <w:rFonts w:ascii="Times New Roman" w:hAnsi="Times New Roman"/>
                <w:b w:val="0"/>
                <w:color w:val="000000"/>
                <w:sz w:val="20"/>
              </w:rPr>
              <w:t>E_in</w:t>
            </w:r>
          </w:p>
        </w:tc>
        <w:tc>
          <w:tcPr>
            <w:tcW w:type="dxa" w:w="1728"/>
          </w:tcPr>
          <w:p>
            <w:pPr>
              <w:spacing w:after="20" w:before="20"/>
            </w:pPr>
            <w:r/>
            <w:r>
              <w:rPr>
                <w:rFonts w:ascii="Times New Roman" w:hAnsi="Times New Roman"/>
                <w:b w:val="0"/>
                <w:color w:val="000000"/>
                <w:sz w:val="20"/>
              </w:rPr>
              <w:t>Oi</w:t>
            </w:r>
          </w:p>
        </w:tc>
        <w:tc>
          <w:tcPr>
            <w:tcW w:type="dxa" w:w="1728"/>
          </w:tcPr>
          <w:p>
            <w:pPr>
              <w:spacing w:after="20" w:before="20"/>
            </w:pPr>
            <w:r/>
            <w:r>
              <w:rPr>
                <w:rFonts w:ascii="Times New Roman" w:hAnsi="Times New Roman"/>
                <w:b w:val="0"/>
                <w:color w:val="000000"/>
                <w:sz w:val="20"/>
              </w:rPr>
              <w:t>Concluding, eliminating options, reducing candidates</w:t>
            </w:r>
          </w:p>
        </w:tc>
        <w:tc>
          <w:tcPr>
            <w:tcW w:type="dxa" w:w="1728"/>
          </w:tcPr>
          <w:p>
            <w:pPr>
              <w:spacing w:after="20" w:before="20"/>
            </w:pPr>
            <w:r/>
            <w:r>
              <w:rPr>
                <w:rFonts w:ascii="Times New Roman" w:hAnsi="Times New Roman"/>
                <w:b w:val="0"/>
                <w:color w:val="000000"/>
                <w:sz w:val="20"/>
              </w:rPr>
              <w:t>Text diff magnitude, outcome count, coupling rate</w:t>
            </w:r>
          </w:p>
        </w:tc>
        <w:tc>
          <w:tcPr>
            <w:tcW w:type="dxa" w:w="1728"/>
          </w:tcPr>
          <w:p>
            <w:pPr>
              <w:spacing w:after="20" w:before="20"/>
            </w:pPr>
            <w:r/>
            <w:r>
              <w:rPr>
                <w:rFonts w:ascii="Times New Roman" w:hAnsi="Times New Roman"/>
                <w:b w:val="0"/>
                <w:color w:val="000000"/>
                <w:sz w:val="20"/>
              </w:rPr>
              <w:t>Validated (4 domains)</w:t>
            </w:r>
          </w:p>
        </w:tc>
      </w:tr>
      <w:tr>
        <w:tc>
          <w:tcPr>
            <w:tcW w:type="dxa" w:w="1728"/>
          </w:tcPr>
          <w:p>
            <w:pPr>
              <w:spacing w:after="20" w:before="20"/>
            </w:pPr>
            <w:r/>
            <w:r>
              <w:rPr>
                <w:rFonts w:ascii="Times New Roman" w:hAnsi="Times New Roman"/>
                <w:b w:val="0"/>
                <w:color w:val="000000"/>
                <w:sz w:val="20"/>
              </w:rPr>
              <w:t>B_out</w:t>
            </w:r>
          </w:p>
        </w:tc>
        <w:tc>
          <w:tcPr>
            <w:tcW w:type="dxa" w:w="1728"/>
          </w:tcPr>
          <w:p>
            <w:pPr>
              <w:spacing w:after="20" w:before="20"/>
            </w:pPr>
            <w:r/>
            <w:r>
              <w:rPr>
                <w:rFonts w:ascii="Times New Roman" w:hAnsi="Times New Roman"/>
                <w:b w:val="0"/>
                <w:color w:val="000000"/>
                <w:sz w:val="20"/>
              </w:rPr>
              <w:t>De</w:t>
            </w:r>
          </w:p>
        </w:tc>
        <w:tc>
          <w:tcPr>
            <w:tcW w:type="dxa" w:w="1728"/>
          </w:tcPr>
          <w:p>
            <w:pPr>
              <w:spacing w:after="20" w:before="20"/>
            </w:pPr>
            <w:r/>
            <w:r>
              <w:rPr>
                <w:rFonts w:ascii="Times New Roman" w:hAnsi="Times New Roman"/>
                <w:b w:val="0"/>
                <w:color w:val="000000"/>
                <w:sz w:val="20"/>
              </w:rPr>
              <w:t>Persistent global write, difficult to reverse</w:t>
            </w:r>
          </w:p>
        </w:tc>
        <w:tc>
          <w:tcPr>
            <w:tcW w:type="dxa" w:w="1728"/>
          </w:tcPr>
          <w:p>
            <w:pPr>
              <w:spacing w:after="20" w:before="20"/>
            </w:pPr>
            <w:r/>
            <w:r>
              <w:rPr>
                <w:rFonts w:ascii="Times New Roman" w:hAnsi="Times New Roman"/>
                <w:b w:val="0"/>
                <w:color w:val="000000"/>
                <w:sz w:val="20"/>
              </w:rPr>
              <w:t>Publication, grant, results posting, effective date</w:t>
            </w:r>
          </w:p>
        </w:tc>
        <w:tc>
          <w:tcPr>
            <w:tcW w:type="dxa" w:w="1728"/>
          </w:tcPr>
          <w:p>
            <w:pPr>
              <w:spacing w:after="20" w:before="20"/>
            </w:pPr>
            <w:r/>
            <w:r>
              <w:rPr>
                <w:rFonts w:ascii="Times New Roman" w:hAnsi="Times New Roman"/>
                <w:b w:val="0"/>
                <w:color w:val="000000"/>
                <w:sz w:val="20"/>
              </w:rPr>
              <w:t>Validated (4 domains)</w:t>
            </w:r>
          </w:p>
        </w:tc>
      </w:tr>
    </w:tbl>
    <w:p>
      <w:pPr>
        <w:spacing w:after="120" w:before="240"/>
      </w:pPr>
      <w:r>
        <w:rPr>
          <w:rFonts w:ascii="Times New Roman" w:hAnsi="Times New Roman"/>
          <w:b/>
          <w:i w:val="0"/>
          <w:color w:val="2F5496"/>
          <w:sz w:val="28"/>
        </w:rPr>
        <w:t>6. How to Test TFP on a New Domain</w:t>
      </w:r>
    </w:p>
    <w:p>
      <w:pPr>
        <w:spacing w:after="60"/>
      </w:pPr>
      <w:r>
        <w:rPr>
          <w:rFonts w:ascii="Times New Roman" w:hAnsi="Times New Roman"/>
          <w:b w:val="0"/>
          <w:i w:val="0"/>
          <w:color w:val="000000"/>
          <w:sz w:val="22"/>
        </w:rPr>
        <w:t>This section provides step-by-step guidance for researchers who wish to test TFP predictions on a new lifecycle dataset.</w:t>
      </w:r>
    </w:p>
    <w:p>
      <w:pPr>
        <w:spacing w:after="80" w:before="160"/>
      </w:pPr>
      <w:r>
        <w:rPr>
          <w:rFonts w:ascii="Times New Roman" w:hAnsi="Times New Roman"/>
          <w:b/>
          <w:i w:val="0"/>
          <w:color w:val="2F5496"/>
          <w:sz w:val="24"/>
        </w:rPr>
        <w:t>6.1 Prerequisites</w:t>
      </w:r>
    </w:p>
    <w:p>
      <w:pPr>
        <w:spacing w:after="60"/>
      </w:pPr>
      <w:r>
        <w:rPr>
          <w:rFonts w:ascii="Times New Roman" w:hAnsi="Times New Roman"/>
          <w:b w:val="0"/>
          <w:i w:val="0"/>
          <w:color w:val="000000"/>
          <w:sz w:val="22"/>
        </w:rPr>
        <w:t>Before beginning a TFP test, verify that your data meets the following minimum requirements:</w:t>
      </w:r>
    </w:p>
    <w:p>
      <w:pPr>
        <w:spacing w:after="60"/>
      </w:pPr>
      <w:r>
        <w:rPr>
          <w:rFonts w:ascii="Times New Roman" w:hAnsi="Times New Roman"/>
          <w:b w:val="0"/>
          <w:i w:val="0"/>
          <w:color w:val="000000"/>
          <w:sz w:val="22"/>
        </w:rPr>
        <w:t>• Timestamped lifecycle data with three or more discrete, temporally ordered stages.</w:t>
      </w:r>
    </w:p>
    <w:p>
      <w:pPr>
        <w:spacing w:after="60"/>
      </w:pPr>
      <w:r>
        <w:rPr>
          <w:rFonts w:ascii="Times New Roman" w:hAnsi="Times New Roman"/>
          <w:b w:val="0"/>
          <w:i w:val="0"/>
          <w:color w:val="000000"/>
          <w:sz w:val="22"/>
        </w:rPr>
        <w:t>• At least one measurable proxy for each operator you intend to test (see Table 2). At minimum, an external coupling metric (e.g., cross-references, external collaborators, incoming citations) is required for the entry-level screening check.</w:t>
      </w:r>
    </w:p>
    <w:p>
      <w:pPr>
        <w:spacing w:after="60"/>
      </w:pPr>
      <w:r>
        <w:rPr>
          <w:rFonts w:ascii="Times New Roman" w:hAnsi="Times New Roman"/>
          <w:b w:val="0"/>
          <w:i w:val="0"/>
          <w:color w:val="000000"/>
          <w:sz w:val="22"/>
        </w:rPr>
        <w:t>• A sample size sufficient for permutation testing. As a rough guideline, 50+ lifecycle instances provide adequate power for the permutation search; smaller samples can be used for exploratory analysis but limit statistical conclusions.</w:t>
      </w:r>
    </w:p>
    <w:p>
      <w:pPr>
        <w:spacing w:after="60"/>
      </w:pPr>
      <w:r>
        <w:rPr>
          <w:rFonts w:ascii="Times New Roman" w:hAnsi="Times New Roman"/>
          <w:b w:val="0"/>
          <w:i w:val="0"/>
          <w:color w:val="000000"/>
          <w:sz w:val="22"/>
        </w:rPr>
        <w:t>• Stage boundaries defined independently of TFP predictions (i.e., based on institutional rules, natural transitions, or domain conventions rather than post hoc optimization).</w:t>
      </w:r>
    </w:p>
    <w:p>
      <w:pPr>
        <w:spacing w:after="80" w:before="160"/>
      </w:pPr>
      <w:r>
        <w:rPr>
          <w:rFonts w:ascii="Times New Roman" w:hAnsi="Times New Roman"/>
          <w:b/>
          <w:i w:val="0"/>
          <w:color w:val="2F5496"/>
          <w:sz w:val="24"/>
        </w:rPr>
        <w:t>6.2 Expected Time Investment</w:t>
      </w:r>
    </w:p>
    <w:p>
      <w:pPr>
        <w:spacing w:after="60"/>
      </w:pPr>
      <w:r>
        <w:rPr>
          <w:rFonts w:ascii="Times New Roman" w:hAnsi="Times New Roman"/>
          <w:b w:val="0"/>
          <w:i w:val="0"/>
          <w:color w:val="000000"/>
          <w:sz w:val="22"/>
        </w:rPr>
        <w:t>• Minimum viable test (Section 6.4): 1–2 days, assuming data are already in tabular form with stage labels and at least one operator proxy.</w:t>
      </w:r>
    </w:p>
    <w:p>
      <w:pPr>
        <w:spacing w:after="60"/>
      </w:pPr>
      <w:r>
        <w:rPr>
          <w:rFonts w:ascii="Times New Roman" w:hAnsi="Times New Roman"/>
          <w:b w:val="0"/>
          <w:i w:val="0"/>
          <w:color w:val="000000"/>
          <w:sz w:val="22"/>
        </w:rPr>
        <w:t>• Full test protocol (Section 6.3): 1–2 weeks, including data preparation, operator measurement, permutation search, holdout validation, and write-up.</w:t>
      </w:r>
    </w:p>
    <w:p>
      <w:pPr>
        <w:spacing w:after="80" w:before="160"/>
      </w:pPr>
      <w:r>
        <w:rPr>
          <w:rFonts w:ascii="Times New Roman" w:hAnsi="Times New Roman"/>
          <w:b/>
          <w:i w:val="0"/>
          <w:color w:val="2F5496"/>
          <w:sz w:val="24"/>
        </w:rPr>
        <w:t>6.3 Full Test Protocol</w:t>
      </w:r>
    </w:p>
    <w:p>
      <w:pPr>
        <w:spacing w:after="60"/>
      </w:pPr>
      <w:r>
        <w:rPr>
          <w:rFonts w:ascii="Times New Roman" w:hAnsi="Times New Roman"/>
          <w:b w:val="0"/>
          <w:i w:val="0"/>
          <w:color w:val="000000"/>
          <w:sz w:val="22"/>
        </w:rPr>
        <w:t>1. Identify a system with staged lifecycle progression. The system must have discrete, temporally ordered stages with observable transitions. Examples: software development sprints, legislative processes, product development pipelines, biological development stages, disease progression. What failure looks like: if the system lacks discrete stages or temporal ordering, TFP predictions do not apply.</w:t>
      </w:r>
    </w:p>
    <w:p>
      <w:pPr>
        <w:spacing w:after="60"/>
      </w:pPr>
      <w:r>
        <w:rPr>
          <w:rFonts w:ascii="Times New Roman" w:hAnsi="Times New Roman"/>
          <w:b w:val="0"/>
          <w:i w:val="0"/>
          <w:color w:val="000000"/>
          <w:sz w:val="22"/>
        </w:rPr>
        <w:t>2. Map institutional or natural stage boundaries to Q1–Q4. Each stage should correspond to one quadrant based on the dominant information-processing function performed at that stage. Q1 = internal preparation before external engagement; Q2 = external gathering and evaluation; Q3 = internal narrowing and convergence; Q4 = external commitment and deployment. What failure looks like: if stages cannot be mapped to quadrants without ambiguity, document the mapping rationale and consider whether the system may lack the structure TFP predicts.</w:t>
      </w:r>
    </w:p>
    <w:p>
      <w:pPr>
        <w:spacing w:after="60"/>
      </w:pPr>
      <w:r>
        <w:rPr>
          <w:rFonts w:ascii="Times New Roman" w:hAnsi="Times New Roman"/>
          <w:b w:val="0"/>
          <w:i w:val="0"/>
          <w:color w:val="000000"/>
          <w:sz w:val="22"/>
        </w:rPr>
        <w:t>3. For each stage, measure the predicted operator's signal strength. Use the operator proxies from Table 2 or develop domain-appropriate equivalents. The key requirement is that each operator must be measured independently—do not use a single metric as a proxy for multiple operators. What failure looks like: if operator proxies cannot be measured independently, the test is inconclusive rather than negative.</w:t>
      </w:r>
    </w:p>
    <w:p>
      <w:pPr>
        <w:spacing w:after="60"/>
      </w:pPr>
      <w:r>
        <w:rPr>
          <w:rFonts w:ascii="Times New Roman" w:hAnsi="Times New Roman"/>
          <w:b w:val="0"/>
          <w:i w:val="0"/>
          <w:color w:val="000000"/>
          <w:sz w:val="22"/>
        </w:rPr>
        <w:t>4. Run the permutation search. For 3 operators, there are 3! = 6 possible operator–stage assignments. For 4 operators, there are 4! = 24. TFP predicts that its assignment will produce the strongest aggregate signal. Compute a composite fit metric for each permutation and rank them. What failure looks like: TFP's predicted assignment is not ranked #1, or is not statistically distinguishable from alternatives.</w:t>
      </w:r>
    </w:p>
    <w:p>
      <w:pPr>
        <w:spacing w:after="60"/>
      </w:pPr>
      <w:r>
        <w:rPr>
          <w:rFonts w:ascii="Times New Roman" w:hAnsi="Times New Roman"/>
          <w:b w:val="0"/>
          <w:i w:val="0"/>
          <w:color w:val="000000"/>
          <w:sz w:val="22"/>
        </w:rPr>
        <w:t>5. Run the wrong-stage permutation test. Shuffle the stage labels while keeping operator assignments fixed. TFP predicts that shuffling stages will destroy the signal. What failure looks like: the signal survives stage shuffling, suggesting the result is an artifact of the metric rather than stage-specific structure.</w:t>
      </w:r>
    </w:p>
    <w:p>
      <w:pPr>
        <w:spacing w:after="60"/>
      </w:pPr>
      <w:r>
        <w:rPr>
          <w:rFonts w:ascii="Times New Roman" w:hAnsi="Times New Roman"/>
          <w:b w:val="0"/>
          <w:i w:val="0"/>
          <w:color w:val="000000"/>
          <w:sz w:val="22"/>
        </w:rPr>
        <w:t>6. Run holdout validation. Split data temporally or by subsample. TFP predicts that results will replicate on held-out data. What failure looks like: the training result does not replicate in the holdout sample.</w:t>
      </w:r>
    </w:p>
    <w:p>
      <w:pPr>
        <w:spacing w:after="60"/>
      </w:pPr>
      <w:r>
        <w:rPr>
          <w:rFonts w:ascii="Times New Roman" w:hAnsi="Times New Roman"/>
          <w:b w:val="0"/>
          <w:i w:val="0"/>
          <w:color w:val="000000"/>
          <w:sz w:val="22"/>
        </w:rPr>
        <w:t>7. Report honestly, including negative results. A domain where TFP predictions fail is as informative as one where they succeed. Negative results help map TFP's boundary conditions.</w:t>
      </w:r>
    </w:p>
    <w:p>
      <w:pPr>
        <w:spacing w:after="80" w:before="160"/>
      </w:pPr>
      <w:r>
        <w:rPr>
          <w:rFonts w:ascii="Times New Roman" w:hAnsi="Times New Roman"/>
          <w:b/>
          <w:i w:val="0"/>
          <w:color w:val="2F5496"/>
          <w:sz w:val="24"/>
        </w:rPr>
        <w:t>6.4 Entry-Level Screening Check</w:t>
      </w:r>
    </w:p>
    <w:p>
      <w:pPr>
        <w:spacing w:after="60"/>
      </w:pPr>
      <w:r>
        <w:rPr>
          <w:rFonts w:ascii="Times New Roman" w:hAnsi="Times New Roman"/>
          <w:b w:val="0"/>
          <w:i w:val="0"/>
          <w:color w:val="000000"/>
          <w:sz w:val="22"/>
        </w:rPr>
        <w:t>For researchers who want a preliminary screening check to determine whether a fuller benchmark run is warranted before committing to the full protocol: if you have lifecycle data with three or more timestamped stages and a measurable external coupling metric (e.g., cross-references, external collaborators, incoming citations), you can test whether coupling peaks at the selection stage (Q2). If it does, that is consistent with TFP. If coupling peaks at a different stage, that is evidence against TFP's operator–stage binding prediction. This single test is not sufficient to validate TFP, but it is sufficient to motivate or discourage the full protocol.</w:t>
      </w:r>
    </w:p>
    <w:p>
      <w:pPr>
        <w:spacing w:after="80" w:before="160"/>
      </w:pPr>
      <w:r>
        <w:rPr>
          <w:rFonts w:ascii="Times New Roman" w:hAnsi="Times New Roman"/>
          <w:b/>
          <w:i w:val="0"/>
          <w:color w:val="2F5496"/>
          <w:sz w:val="24"/>
        </w:rPr>
        <w:t>6.5 Worked Example</w:t>
      </w:r>
    </w:p>
    <w:p>
      <w:pPr>
        <w:spacing w:after="60"/>
      </w:pPr>
      <w:r>
        <w:rPr>
          <w:rFonts w:ascii="Times New Roman" w:hAnsi="Times New Roman"/>
          <w:b w:val="0"/>
          <w:i w:val="0"/>
          <w:color w:val="000000"/>
          <w:sz w:val="22"/>
        </w:rPr>
        <w:t>For example, in a software release cycle with stages Draft → Review → Release Candidate → Stable Release:</w:t>
      </w:r>
    </w:p>
    <w:p>
      <w:pPr>
        <w:spacing w:after="60"/>
      </w:pPr>
      <w:r>
        <w:rPr>
          <w:rFonts w:ascii="Times New Roman" w:hAnsi="Times New Roman"/>
          <w:b w:val="0"/>
          <w:i w:val="0"/>
          <w:color w:val="000000"/>
          <w:sz w:val="22"/>
        </w:rPr>
        <w:t>• Map stages: Draft = Q1 (internal preparation), Review = Q2 (external feedback gathering), Release Candidate = Q3 (narrowing, bug triage), Stable Release = Q4 (irreversible public commitment).</w:t>
      </w:r>
    </w:p>
    <w:p>
      <w:pPr>
        <w:spacing w:after="60"/>
      </w:pPr>
      <w:r>
        <w:rPr>
          <w:rFonts w:ascii="Times New Roman" w:hAnsi="Times New Roman"/>
          <w:b w:val="0"/>
          <w:i w:val="0"/>
          <w:color w:val="000000"/>
          <w:sz w:val="22"/>
        </w:rPr>
        <w:t>• Measure operators: For E_out at the Review stage, count the number of unique external reviewers, cross-project references, and community comments per release. For E_in at the Release Candidate stage, measure the rate of bug closure, feature freeze enforcement, and candidate elimination.</w:t>
      </w:r>
    </w:p>
    <w:p>
      <w:pPr>
        <w:spacing w:after="60"/>
      </w:pPr>
      <w:r>
        <w:rPr>
          <w:rFonts w:ascii="Times New Roman" w:hAnsi="Times New Roman"/>
          <w:b w:val="0"/>
          <w:i w:val="0"/>
          <w:color w:val="000000"/>
          <w:sz w:val="22"/>
        </w:rPr>
        <w:t>• Permutation search: Compute the composite fit for all 24 operator–stage assignments. TFP predicts that {Q1: B_in, Q2: E_out, Q3: E_in, Q4: B_out} ranks #1.</w:t>
      </w:r>
    </w:p>
    <w:p>
      <w:pPr>
        <w:spacing w:after="60"/>
      </w:pPr>
      <w:r>
        <w:rPr>
          <w:rFonts w:ascii="Times New Roman" w:hAnsi="Times New Roman"/>
          <w:b w:val="0"/>
          <w:i w:val="0"/>
          <w:color w:val="000000"/>
          <w:sz w:val="22"/>
        </w:rPr>
        <w:t>• Failure scenario: If external reviewer count peaks during the Release Candidate stage rather than Review, the Q2–E_out binding prediction fails for this domain.</w:t>
      </w:r>
    </w:p>
    <w:p>
      <w:pPr>
        <w:spacing w:after="120" w:before="240"/>
      </w:pPr>
      <w:r>
        <w:rPr>
          <w:rFonts w:ascii="Times New Roman" w:hAnsi="Times New Roman"/>
          <w:b/>
          <w:i w:val="0"/>
          <w:color w:val="2F5496"/>
          <w:sz w:val="28"/>
        </w:rPr>
        <w:t>7. Benchmark Tasks and Rival Models</w:t>
      </w:r>
    </w:p>
    <w:p>
      <w:pPr>
        <w:spacing w:after="60"/>
      </w:pPr>
      <w:r>
        <w:rPr>
          <w:rFonts w:ascii="Times New Roman" w:hAnsi="Times New Roman"/>
          <w:b w:val="0"/>
          <w:i w:val="0"/>
          <w:color w:val="000000"/>
          <w:sz w:val="22"/>
        </w:rPr>
        <w:t>Table 3 specifies the benchmark tasks that a TFP validation study should include, along with rival models, kill criteria, minimum data requirements, and estimated difficulty. These benchmarks form a canonical evaluation framework: researchers testing TFP in any domain should report results against these tasks to enable cross-study comparison.</w:t>
      </w:r>
    </w:p>
    <w:p>
      <w:pPr>
        <w:spacing w:after="80"/>
      </w:pPr>
      <w:r>
        <w:rPr>
          <w:rFonts w:ascii="Times New Roman" w:hAnsi="Times New Roman"/>
          <w:b/>
          <w:i/>
          <w:color w:val="000000"/>
          <w:sz w:val="20"/>
        </w:rPr>
        <w:t>Table 3. Benchmark Tasks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440"/>
        <w:gridCol w:w="1440"/>
        <w:gridCol w:w="1440"/>
        <w:gridCol w:w="1440"/>
        <w:gridCol w:w="1440"/>
        <w:gridCol w:w="1440"/>
      </w:tblGrid>
      <w:tr>
        <w:tc>
          <w:tcPr>
            <w:tcW w:type="dxa" w:w="1440"/>
            <w:shd w:fill="D9E2F3" w:val="clear"/>
          </w:tcPr>
          <w:p>
            <w:pPr>
              <w:spacing w:after="20" w:before="20"/>
            </w:pPr>
            <w:r/>
            <w:r>
              <w:rPr>
                <w:rFonts w:ascii="Times New Roman" w:hAnsi="Times New Roman"/>
                <w:b/>
                <w:color w:val="000000"/>
                <w:sz w:val="20"/>
              </w:rPr>
              <w:t>Benchmark</w:t>
            </w:r>
          </w:p>
        </w:tc>
        <w:tc>
          <w:tcPr>
            <w:tcW w:type="dxa" w:w="1440"/>
            <w:shd w:fill="D9E2F3" w:val="clear"/>
          </w:tcPr>
          <w:p>
            <w:pPr>
              <w:spacing w:after="20" w:before="20"/>
            </w:pPr>
            <w:r/>
            <w:r>
              <w:rPr>
                <w:rFonts w:ascii="Times New Roman" w:hAnsi="Times New Roman"/>
                <w:b/>
                <w:color w:val="000000"/>
                <w:sz w:val="20"/>
              </w:rPr>
              <w:t>What It Tests</w:t>
            </w:r>
          </w:p>
        </w:tc>
        <w:tc>
          <w:tcPr>
            <w:tcW w:type="dxa" w:w="1440"/>
            <w:shd w:fill="D9E2F3" w:val="clear"/>
          </w:tcPr>
          <w:p>
            <w:pPr>
              <w:spacing w:after="20" w:before="20"/>
            </w:pPr>
            <w:r/>
            <w:r>
              <w:rPr>
                <w:rFonts w:ascii="Times New Roman" w:hAnsi="Times New Roman"/>
                <w:b/>
                <w:color w:val="000000"/>
                <w:sz w:val="20"/>
              </w:rPr>
              <w:t>Rival Models</w:t>
            </w:r>
          </w:p>
        </w:tc>
        <w:tc>
          <w:tcPr>
            <w:tcW w:type="dxa" w:w="1440"/>
            <w:shd w:fill="D9E2F3" w:val="clear"/>
          </w:tcPr>
          <w:p>
            <w:pPr>
              <w:spacing w:after="20" w:before="20"/>
            </w:pPr>
            <w:r/>
            <w:r>
              <w:rPr>
                <w:rFonts w:ascii="Times New Roman" w:hAnsi="Times New Roman"/>
                <w:b/>
                <w:color w:val="000000"/>
                <w:sz w:val="20"/>
              </w:rPr>
              <w:t>Kill Criteria</w:t>
            </w:r>
          </w:p>
        </w:tc>
        <w:tc>
          <w:tcPr>
            <w:tcW w:type="dxa" w:w="1440"/>
            <w:shd w:fill="D9E2F3" w:val="clear"/>
          </w:tcPr>
          <w:p>
            <w:pPr>
              <w:spacing w:after="20" w:before="20"/>
            </w:pPr>
            <w:r/>
            <w:r>
              <w:rPr>
                <w:rFonts w:ascii="Times New Roman" w:hAnsi="Times New Roman"/>
                <w:b/>
                <w:color w:val="000000"/>
                <w:sz w:val="20"/>
              </w:rPr>
              <w:t>Min. Data</w:t>
            </w:r>
          </w:p>
        </w:tc>
        <w:tc>
          <w:tcPr>
            <w:tcW w:type="dxa" w:w="1440"/>
            <w:shd w:fill="D9E2F3" w:val="clear"/>
          </w:tcPr>
          <w:p>
            <w:pPr>
              <w:spacing w:after="20" w:before="20"/>
            </w:pPr>
            <w:r/>
            <w:r>
              <w:rPr>
                <w:rFonts w:ascii="Times New Roman" w:hAnsi="Times New Roman"/>
                <w:b/>
                <w:color w:val="000000"/>
                <w:sz w:val="20"/>
              </w:rPr>
              <w:t>Difficulty</w:t>
            </w:r>
          </w:p>
        </w:tc>
      </w:tr>
      <w:tr>
        <w:tc>
          <w:tcPr>
            <w:tcW w:type="dxa" w:w="1440"/>
          </w:tcPr>
          <w:p>
            <w:pPr>
              <w:spacing w:after="20" w:before="20"/>
            </w:pPr>
            <w:r/>
            <w:r>
              <w:rPr>
                <w:rFonts w:ascii="Times New Roman" w:hAnsi="Times New Roman"/>
                <w:b w:val="0"/>
                <w:color w:val="000000"/>
                <w:sz w:val="20"/>
              </w:rPr>
              <w:t>Permutation mapping search</w:t>
            </w:r>
          </w:p>
        </w:tc>
        <w:tc>
          <w:tcPr>
            <w:tcW w:type="dxa" w:w="1440"/>
          </w:tcPr>
          <w:p>
            <w:pPr>
              <w:spacing w:after="20" w:before="20"/>
            </w:pPr>
            <w:r/>
            <w:r>
              <w:rPr>
                <w:rFonts w:ascii="Times New Roman" w:hAnsi="Times New Roman"/>
                <w:b w:val="0"/>
                <w:color w:val="000000"/>
                <w:sz w:val="20"/>
              </w:rPr>
              <w:t>Non-interchangeability</w:t>
            </w:r>
          </w:p>
        </w:tc>
        <w:tc>
          <w:tcPr>
            <w:tcW w:type="dxa" w:w="1440"/>
          </w:tcPr>
          <w:p>
            <w:pPr>
              <w:spacing w:after="20" w:before="20"/>
            </w:pPr>
            <w:r/>
            <w:r>
              <w:rPr>
                <w:rFonts w:ascii="Times New Roman" w:hAnsi="Times New Roman"/>
                <w:b w:val="0"/>
                <w:color w:val="000000"/>
                <w:sz w:val="20"/>
              </w:rPr>
              <w:t>All 3!/4! alternative assignments</w:t>
            </w:r>
          </w:p>
        </w:tc>
        <w:tc>
          <w:tcPr>
            <w:tcW w:type="dxa" w:w="1440"/>
          </w:tcPr>
          <w:p>
            <w:pPr>
              <w:spacing w:after="20" w:before="20"/>
            </w:pPr>
            <w:r/>
            <w:r>
              <w:rPr>
                <w:rFonts w:ascii="Times New Roman" w:hAnsi="Times New Roman"/>
                <w:b w:val="0"/>
                <w:color w:val="000000"/>
                <w:sz w:val="20"/>
              </w:rPr>
              <w:t>TFP assignment not ranked #1</w:t>
            </w:r>
          </w:p>
        </w:tc>
        <w:tc>
          <w:tcPr>
            <w:tcW w:type="dxa" w:w="1440"/>
          </w:tcPr>
          <w:p>
            <w:pPr>
              <w:spacing w:after="20" w:before="20"/>
            </w:pPr>
            <w:r/>
            <w:r>
              <w:rPr>
                <w:rFonts w:ascii="Times New Roman" w:hAnsi="Times New Roman"/>
                <w:b w:val="0"/>
                <w:color w:val="000000"/>
                <w:sz w:val="20"/>
              </w:rPr>
              <w:t>50+ instances, 3+ stages, 3+ operator proxies</w:t>
            </w:r>
          </w:p>
        </w:tc>
        <w:tc>
          <w:tcPr>
            <w:tcW w:type="dxa" w:w="1440"/>
          </w:tcPr>
          <w:p>
            <w:pPr>
              <w:spacing w:after="20" w:before="20"/>
            </w:pPr>
            <w:r/>
            <w:r>
              <w:rPr>
                <w:rFonts w:ascii="Times New Roman" w:hAnsi="Times New Roman"/>
                <w:b w:val="0"/>
                <w:color w:val="000000"/>
                <w:sz w:val="20"/>
              </w:rPr>
              <w:t>Beginner</w:t>
            </w:r>
          </w:p>
        </w:tc>
      </w:tr>
      <w:tr>
        <w:tc>
          <w:tcPr>
            <w:tcW w:type="dxa" w:w="1440"/>
          </w:tcPr>
          <w:p>
            <w:pPr>
              <w:spacing w:after="20" w:before="20"/>
            </w:pPr>
            <w:r/>
            <w:r>
              <w:rPr>
                <w:rFonts w:ascii="Times New Roman" w:hAnsi="Times New Roman"/>
                <w:b w:val="0"/>
                <w:color w:val="000000"/>
                <w:sz w:val="20"/>
              </w:rPr>
              <w:t>Wrong-stage permutation</w:t>
            </w:r>
          </w:p>
        </w:tc>
        <w:tc>
          <w:tcPr>
            <w:tcW w:type="dxa" w:w="1440"/>
          </w:tcPr>
          <w:p>
            <w:pPr>
              <w:spacing w:after="20" w:before="20"/>
            </w:pPr>
            <w:r/>
            <w:r>
              <w:rPr>
                <w:rFonts w:ascii="Times New Roman" w:hAnsi="Times New Roman"/>
                <w:b w:val="0"/>
                <w:color w:val="000000"/>
                <w:sz w:val="20"/>
              </w:rPr>
              <w:t>Stage specificity</w:t>
            </w:r>
          </w:p>
        </w:tc>
        <w:tc>
          <w:tcPr>
            <w:tcW w:type="dxa" w:w="1440"/>
          </w:tcPr>
          <w:p>
            <w:pPr>
              <w:spacing w:after="20" w:before="20"/>
            </w:pPr>
            <w:r/>
            <w:r>
              <w:rPr>
                <w:rFonts w:ascii="Times New Roman" w:hAnsi="Times New Roman"/>
                <w:b w:val="0"/>
                <w:color w:val="000000"/>
                <w:sz w:val="20"/>
              </w:rPr>
              <w:t>Shuffled stage labels</w:t>
            </w:r>
          </w:p>
        </w:tc>
        <w:tc>
          <w:tcPr>
            <w:tcW w:type="dxa" w:w="1440"/>
          </w:tcPr>
          <w:p>
            <w:pPr>
              <w:spacing w:after="20" w:before="20"/>
            </w:pPr>
            <w:r/>
            <w:r>
              <w:rPr>
                <w:rFonts w:ascii="Times New Roman" w:hAnsi="Times New Roman"/>
                <w:b w:val="0"/>
                <w:color w:val="000000"/>
                <w:sz w:val="20"/>
              </w:rPr>
              <w:t>Signal survives shuffling</w:t>
            </w:r>
          </w:p>
        </w:tc>
        <w:tc>
          <w:tcPr>
            <w:tcW w:type="dxa" w:w="1440"/>
          </w:tcPr>
          <w:p>
            <w:pPr>
              <w:spacing w:after="20" w:before="20"/>
            </w:pPr>
            <w:r/>
            <w:r>
              <w:rPr>
                <w:rFonts w:ascii="Times New Roman" w:hAnsi="Times New Roman"/>
                <w:b w:val="0"/>
                <w:color w:val="000000"/>
                <w:sz w:val="20"/>
              </w:rPr>
              <w:t>50+ instances, 3+ stages</w:t>
            </w:r>
          </w:p>
        </w:tc>
        <w:tc>
          <w:tcPr>
            <w:tcW w:type="dxa" w:w="1440"/>
          </w:tcPr>
          <w:p>
            <w:pPr>
              <w:spacing w:after="20" w:before="20"/>
            </w:pPr>
            <w:r/>
            <w:r>
              <w:rPr>
                <w:rFonts w:ascii="Times New Roman" w:hAnsi="Times New Roman"/>
                <w:b w:val="0"/>
                <w:color w:val="000000"/>
                <w:sz w:val="20"/>
              </w:rPr>
              <w:t>Beginner</w:t>
            </w:r>
          </w:p>
        </w:tc>
      </w:tr>
      <w:tr>
        <w:tc>
          <w:tcPr>
            <w:tcW w:type="dxa" w:w="1440"/>
          </w:tcPr>
          <w:p>
            <w:pPr>
              <w:spacing w:after="20" w:before="20"/>
            </w:pPr>
            <w:r/>
            <w:r>
              <w:rPr>
                <w:rFonts w:ascii="Times New Roman" w:hAnsi="Times New Roman"/>
                <w:b w:val="0"/>
                <w:color w:val="000000"/>
                <w:sz w:val="20"/>
              </w:rPr>
              <w:t>Wrong-operator assignment</w:t>
            </w:r>
          </w:p>
        </w:tc>
        <w:tc>
          <w:tcPr>
            <w:tcW w:type="dxa" w:w="1440"/>
          </w:tcPr>
          <w:p>
            <w:pPr>
              <w:spacing w:after="20" w:before="20"/>
            </w:pPr>
            <w:r/>
            <w:r>
              <w:rPr>
                <w:rFonts w:ascii="Times New Roman" w:hAnsi="Times New Roman"/>
                <w:b w:val="0"/>
                <w:color w:val="000000"/>
                <w:sz w:val="20"/>
              </w:rPr>
              <w:t>Operator specificity</w:t>
            </w:r>
          </w:p>
        </w:tc>
        <w:tc>
          <w:tcPr>
            <w:tcW w:type="dxa" w:w="1440"/>
          </w:tcPr>
          <w:p>
            <w:pPr>
              <w:spacing w:after="20" w:before="20"/>
            </w:pPr>
            <w:r/>
            <w:r>
              <w:rPr>
                <w:rFonts w:ascii="Times New Roman" w:hAnsi="Times New Roman"/>
                <w:b w:val="0"/>
                <w:color w:val="000000"/>
                <w:sz w:val="20"/>
              </w:rPr>
              <w:t>Swapped operator predictions</w:t>
            </w:r>
          </w:p>
        </w:tc>
        <w:tc>
          <w:tcPr>
            <w:tcW w:type="dxa" w:w="1440"/>
          </w:tcPr>
          <w:p>
            <w:pPr>
              <w:spacing w:after="20" w:before="20"/>
            </w:pPr>
            <w:r/>
            <w:r>
              <w:rPr>
                <w:rFonts w:ascii="Times New Roman" w:hAnsi="Times New Roman"/>
                <w:b w:val="0"/>
                <w:color w:val="000000"/>
                <w:sz w:val="20"/>
              </w:rPr>
              <w:t>Signal does not degrade with wrong operators</w:t>
            </w:r>
          </w:p>
        </w:tc>
        <w:tc>
          <w:tcPr>
            <w:tcW w:type="dxa" w:w="1440"/>
          </w:tcPr>
          <w:p>
            <w:pPr>
              <w:spacing w:after="20" w:before="20"/>
            </w:pPr>
            <w:r/>
            <w:r>
              <w:rPr>
                <w:rFonts w:ascii="Times New Roman" w:hAnsi="Times New Roman"/>
                <w:b w:val="0"/>
                <w:color w:val="000000"/>
                <w:sz w:val="20"/>
              </w:rPr>
              <w:t>50+ instances, 3+ stages, 3+ operator proxies</w:t>
            </w:r>
          </w:p>
        </w:tc>
        <w:tc>
          <w:tcPr>
            <w:tcW w:type="dxa" w:w="1440"/>
          </w:tcPr>
          <w:p>
            <w:pPr>
              <w:spacing w:after="20" w:before="20"/>
            </w:pPr>
            <w:r/>
            <w:r>
              <w:rPr>
                <w:rFonts w:ascii="Times New Roman" w:hAnsi="Times New Roman"/>
                <w:b w:val="0"/>
                <w:color w:val="000000"/>
                <w:sz w:val="20"/>
              </w:rPr>
              <w:t>Intermediate</w:t>
            </w:r>
          </w:p>
        </w:tc>
      </w:tr>
      <w:tr>
        <w:tc>
          <w:tcPr>
            <w:tcW w:type="dxa" w:w="1440"/>
          </w:tcPr>
          <w:p>
            <w:pPr>
              <w:spacing w:after="20" w:before="20"/>
            </w:pPr>
            <w:r/>
            <w:r>
              <w:rPr>
                <w:rFonts w:ascii="Times New Roman" w:hAnsi="Times New Roman"/>
                <w:b w:val="0"/>
                <w:color w:val="000000"/>
                <w:sz w:val="20"/>
              </w:rPr>
              <w:t>HMM latent state recovery</w:t>
            </w:r>
          </w:p>
        </w:tc>
        <w:tc>
          <w:tcPr>
            <w:tcW w:type="dxa" w:w="1440"/>
          </w:tcPr>
          <w:p>
            <w:pPr>
              <w:spacing w:after="20" w:before="20"/>
            </w:pPr>
            <w:r/>
            <w:r>
              <w:rPr>
                <w:rFonts w:ascii="Times New Roman" w:hAnsi="Times New Roman"/>
                <w:b w:val="0"/>
                <w:color w:val="000000"/>
                <w:sz w:val="20"/>
              </w:rPr>
              <w:t>Independent discoverability</w:t>
            </w:r>
          </w:p>
        </w:tc>
        <w:tc>
          <w:tcPr>
            <w:tcW w:type="dxa" w:w="1440"/>
          </w:tcPr>
          <w:p>
            <w:pPr>
              <w:spacing w:after="20" w:before="20"/>
            </w:pPr>
            <w:r/>
            <w:r>
              <w:rPr>
                <w:rFonts w:ascii="Times New Roman" w:hAnsi="Times New Roman"/>
                <w:b w:val="0"/>
                <w:color w:val="000000"/>
                <w:sz w:val="20"/>
              </w:rPr>
              <w:t>Unsupervised k-state model</w:t>
            </w:r>
          </w:p>
        </w:tc>
        <w:tc>
          <w:tcPr>
            <w:tcW w:type="dxa" w:w="1440"/>
          </w:tcPr>
          <w:p>
            <w:pPr>
              <w:spacing w:after="20" w:before="20"/>
            </w:pPr>
            <w:r/>
            <w:r>
              <w:rPr>
                <w:rFonts w:ascii="Times New Roman" w:hAnsi="Times New Roman"/>
                <w:b w:val="0"/>
                <w:color w:val="000000"/>
                <w:sz w:val="20"/>
              </w:rPr>
              <w:t>HMM recovers fundamentally different structure</w:t>
            </w:r>
          </w:p>
        </w:tc>
        <w:tc>
          <w:tcPr>
            <w:tcW w:type="dxa" w:w="1440"/>
          </w:tcPr>
          <w:p>
            <w:pPr>
              <w:spacing w:after="20" w:before="20"/>
            </w:pPr>
            <w:r/>
            <w:r>
              <w:rPr>
                <w:rFonts w:ascii="Times New Roman" w:hAnsi="Times New Roman"/>
                <w:b w:val="0"/>
                <w:color w:val="000000"/>
                <w:sz w:val="20"/>
              </w:rPr>
              <w:t>200+ instances, time-series operator data</w:t>
            </w:r>
          </w:p>
        </w:tc>
        <w:tc>
          <w:tcPr>
            <w:tcW w:type="dxa" w:w="1440"/>
          </w:tcPr>
          <w:p>
            <w:pPr>
              <w:spacing w:after="20" w:before="20"/>
            </w:pPr>
            <w:r/>
            <w:r>
              <w:rPr>
                <w:rFonts w:ascii="Times New Roman" w:hAnsi="Times New Roman"/>
                <w:b w:val="0"/>
                <w:color w:val="000000"/>
                <w:sz w:val="20"/>
              </w:rPr>
              <w:t>Advanced</w:t>
            </w:r>
          </w:p>
        </w:tc>
      </w:tr>
      <w:tr>
        <w:tc>
          <w:tcPr>
            <w:tcW w:type="dxa" w:w="1440"/>
          </w:tcPr>
          <w:p>
            <w:pPr>
              <w:spacing w:after="20" w:before="20"/>
            </w:pPr>
            <w:r/>
            <w:r>
              <w:rPr>
                <w:rFonts w:ascii="Times New Roman" w:hAnsi="Times New Roman"/>
                <w:b w:val="0"/>
                <w:color w:val="000000"/>
                <w:sz w:val="20"/>
              </w:rPr>
              <w:t>Leave-one-domain-out</w:t>
            </w:r>
          </w:p>
        </w:tc>
        <w:tc>
          <w:tcPr>
            <w:tcW w:type="dxa" w:w="1440"/>
          </w:tcPr>
          <w:p>
            <w:pPr>
              <w:spacing w:after="20" w:before="20"/>
            </w:pPr>
            <w:r/>
            <w:r>
              <w:rPr>
                <w:rFonts w:ascii="Times New Roman" w:hAnsi="Times New Roman"/>
                <w:b w:val="0"/>
                <w:color w:val="000000"/>
                <w:sz w:val="20"/>
              </w:rPr>
              <w:t>Cross-domain robustness</w:t>
            </w:r>
          </w:p>
        </w:tc>
        <w:tc>
          <w:tcPr>
            <w:tcW w:type="dxa" w:w="1440"/>
          </w:tcPr>
          <w:p>
            <w:pPr>
              <w:spacing w:after="20" w:before="20"/>
            </w:pPr>
            <w:r/>
            <w:r>
              <w:rPr>
                <w:rFonts w:ascii="Times New Roman" w:hAnsi="Times New Roman"/>
                <w:b w:val="0"/>
                <w:color w:val="000000"/>
                <w:sz w:val="20"/>
              </w:rPr>
              <w:t>Single-domain dependency</w:t>
            </w:r>
          </w:p>
        </w:tc>
        <w:tc>
          <w:tcPr>
            <w:tcW w:type="dxa" w:w="1440"/>
          </w:tcPr>
          <w:p>
            <w:pPr>
              <w:spacing w:after="20" w:before="20"/>
            </w:pPr>
            <w:r/>
            <w:r>
              <w:rPr>
                <w:rFonts w:ascii="Times New Roman" w:hAnsi="Times New Roman"/>
                <w:b w:val="0"/>
                <w:color w:val="000000"/>
                <w:sz w:val="20"/>
              </w:rPr>
              <w:t>Removing any single domain eliminates the result</w:t>
            </w:r>
          </w:p>
        </w:tc>
        <w:tc>
          <w:tcPr>
            <w:tcW w:type="dxa" w:w="1440"/>
          </w:tcPr>
          <w:p>
            <w:pPr>
              <w:spacing w:after="20" w:before="20"/>
            </w:pPr>
            <w:r/>
            <w:r>
              <w:rPr>
                <w:rFonts w:ascii="Times New Roman" w:hAnsi="Times New Roman"/>
                <w:b w:val="0"/>
                <w:color w:val="000000"/>
                <w:sz w:val="20"/>
              </w:rPr>
              <w:t>2+ domains, 50+ instances each</w:t>
            </w:r>
          </w:p>
        </w:tc>
        <w:tc>
          <w:tcPr>
            <w:tcW w:type="dxa" w:w="1440"/>
          </w:tcPr>
          <w:p>
            <w:pPr>
              <w:spacing w:after="20" w:before="20"/>
            </w:pPr>
            <w:r/>
            <w:r>
              <w:rPr>
                <w:rFonts w:ascii="Times New Roman" w:hAnsi="Times New Roman"/>
                <w:b w:val="0"/>
                <w:color w:val="000000"/>
                <w:sz w:val="20"/>
              </w:rPr>
              <w:t>Intermediate</w:t>
            </w:r>
          </w:p>
        </w:tc>
      </w:tr>
      <w:tr>
        <w:tc>
          <w:tcPr>
            <w:tcW w:type="dxa" w:w="1440"/>
          </w:tcPr>
          <w:p>
            <w:pPr>
              <w:spacing w:after="20" w:before="20"/>
            </w:pPr>
            <w:r/>
            <w:r>
              <w:rPr>
                <w:rFonts w:ascii="Times New Roman" w:hAnsi="Times New Roman"/>
                <w:b w:val="0"/>
                <w:color w:val="000000"/>
                <w:sz w:val="20"/>
              </w:rPr>
              <w:t>Holdout temporal validation</w:t>
            </w:r>
          </w:p>
        </w:tc>
        <w:tc>
          <w:tcPr>
            <w:tcW w:type="dxa" w:w="1440"/>
          </w:tcPr>
          <w:p>
            <w:pPr>
              <w:spacing w:after="20" w:before="20"/>
            </w:pPr>
            <w:r/>
            <w:r>
              <w:rPr>
                <w:rFonts w:ascii="Times New Roman" w:hAnsi="Times New Roman"/>
                <w:b w:val="0"/>
                <w:color w:val="000000"/>
                <w:sz w:val="20"/>
              </w:rPr>
              <w:t>Temporal stability</w:t>
            </w:r>
          </w:p>
        </w:tc>
        <w:tc>
          <w:tcPr>
            <w:tcW w:type="dxa" w:w="1440"/>
          </w:tcPr>
          <w:p>
            <w:pPr>
              <w:spacing w:after="20" w:before="20"/>
            </w:pPr>
            <w:r/>
            <w:r>
              <w:rPr>
                <w:rFonts w:ascii="Times New Roman" w:hAnsi="Times New Roman"/>
                <w:b w:val="0"/>
                <w:color w:val="000000"/>
                <w:sz w:val="20"/>
              </w:rPr>
              <w:t>Train/test split</w:t>
            </w:r>
          </w:p>
        </w:tc>
        <w:tc>
          <w:tcPr>
            <w:tcW w:type="dxa" w:w="1440"/>
          </w:tcPr>
          <w:p>
            <w:pPr>
              <w:spacing w:after="20" w:before="20"/>
            </w:pPr>
            <w:r/>
            <w:r>
              <w:rPr>
                <w:rFonts w:ascii="Times New Roman" w:hAnsi="Times New Roman"/>
                <w:b w:val="0"/>
                <w:color w:val="000000"/>
                <w:sz w:val="20"/>
              </w:rPr>
              <w:t>Test set fails to replicate training result</w:t>
            </w:r>
          </w:p>
        </w:tc>
        <w:tc>
          <w:tcPr>
            <w:tcW w:type="dxa" w:w="1440"/>
          </w:tcPr>
          <w:p>
            <w:pPr>
              <w:spacing w:after="20" w:before="20"/>
            </w:pPr>
            <w:r/>
            <w:r>
              <w:rPr>
                <w:rFonts w:ascii="Times New Roman" w:hAnsi="Times New Roman"/>
                <w:b w:val="0"/>
                <w:color w:val="000000"/>
                <w:sz w:val="20"/>
              </w:rPr>
              <w:t>100+ instances (split 70/30)</w:t>
            </w:r>
          </w:p>
        </w:tc>
        <w:tc>
          <w:tcPr>
            <w:tcW w:type="dxa" w:w="1440"/>
          </w:tcPr>
          <w:p>
            <w:pPr>
              <w:spacing w:after="20" w:before="20"/>
            </w:pPr>
            <w:r/>
            <w:r>
              <w:rPr>
                <w:rFonts w:ascii="Times New Roman" w:hAnsi="Times New Roman"/>
                <w:b w:val="0"/>
                <w:color w:val="000000"/>
                <w:sz w:val="20"/>
              </w:rPr>
              <w:t>Beginner</w:t>
            </w:r>
          </w:p>
        </w:tc>
      </w:tr>
      <w:tr>
        <w:tc>
          <w:tcPr>
            <w:tcW w:type="dxa" w:w="1440"/>
          </w:tcPr>
          <w:p>
            <w:pPr>
              <w:spacing w:after="20" w:before="20"/>
            </w:pPr>
            <w:r/>
            <w:r>
              <w:rPr>
                <w:rFonts w:ascii="Times New Roman" w:hAnsi="Times New Roman"/>
                <w:b w:val="0"/>
                <w:color w:val="000000"/>
                <w:sz w:val="20"/>
              </w:rPr>
              <w:t>Confound stratification</w:t>
            </w:r>
          </w:p>
        </w:tc>
        <w:tc>
          <w:tcPr>
            <w:tcW w:type="dxa" w:w="1440"/>
          </w:tcPr>
          <w:p>
            <w:pPr>
              <w:spacing w:after="20" w:before="20"/>
            </w:pPr>
            <w:r/>
            <w:r>
              <w:rPr>
                <w:rFonts w:ascii="Times New Roman" w:hAnsi="Times New Roman"/>
                <w:b w:val="0"/>
                <w:color w:val="000000"/>
                <w:sz w:val="20"/>
              </w:rPr>
              <w:t>Ruling out confounds</w:t>
            </w:r>
          </w:p>
        </w:tc>
        <w:tc>
          <w:tcPr>
            <w:tcW w:type="dxa" w:w="1440"/>
          </w:tcPr>
          <w:p>
            <w:pPr>
              <w:spacing w:after="20" w:before="20"/>
            </w:pPr>
            <w:r/>
            <w:r>
              <w:rPr>
                <w:rFonts w:ascii="Times New Roman" w:hAnsi="Times New Roman"/>
                <w:b w:val="0"/>
                <w:color w:val="000000"/>
                <w:sz w:val="20"/>
              </w:rPr>
              <w:t>Size, phase, year controls</w:t>
            </w:r>
          </w:p>
        </w:tc>
        <w:tc>
          <w:tcPr>
            <w:tcW w:type="dxa" w:w="1440"/>
          </w:tcPr>
          <w:p>
            <w:pPr>
              <w:spacing w:after="20" w:before="20"/>
            </w:pPr>
            <w:r/>
            <w:r>
              <w:rPr>
                <w:rFonts w:ascii="Times New Roman" w:hAnsi="Times New Roman"/>
                <w:b w:val="0"/>
                <w:color w:val="000000"/>
                <w:sz w:val="20"/>
              </w:rPr>
              <w:t>Effect disappears after controlling for confounds</w:t>
            </w:r>
          </w:p>
        </w:tc>
        <w:tc>
          <w:tcPr>
            <w:tcW w:type="dxa" w:w="1440"/>
          </w:tcPr>
          <w:p>
            <w:pPr>
              <w:spacing w:after="20" w:before="20"/>
            </w:pPr>
            <w:r/>
            <w:r>
              <w:rPr>
                <w:rFonts w:ascii="Times New Roman" w:hAnsi="Times New Roman"/>
                <w:b w:val="0"/>
                <w:color w:val="000000"/>
                <w:sz w:val="20"/>
              </w:rPr>
              <w:t>100+ instances, confound metadata</w:t>
            </w:r>
          </w:p>
        </w:tc>
        <w:tc>
          <w:tcPr>
            <w:tcW w:type="dxa" w:w="1440"/>
          </w:tcPr>
          <w:p>
            <w:pPr>
              <w:spacing w:after="20" w:before="20"/>
            </w:pPr>
            <w:r/>
            <w:r>
              <w:rPr>
                <w:rFonts w:ascii="Times New Roman" w:hAnsi="Times New Roman"/>
                <w:b w:val="0"/>
                <w:color w:val="000000"/>
                <w:sz w:val="20"/>
              </w:rPr>
              <w:t>Intermediate</w:t>
            </w:r>
          </w:p>
        </w:tc>
      </w:tr>
    </w:tbl>
    <w:p>
      <w:pPr>
        <w:spacing w:after="120" w:before="240"/>
      </w:pPr>
      <w:r>
        <w:rPr>
          <w:rFonts w:ascii="Times New Roman" w:hAnsi="Times New Roman"/>
          <w:b/>
          <w:i w:val="0"/>
          <w:color w:val="2F5496"/>
          <w:sz w:val="28"/>
        </w:rPr>
        <w:t>8. Mechanism Roadmap (Inside-Out Bridge)</w:t>
      </w:r>
    </w:p>
    <w:p>
      <w:pPr>
        <w:spacing w:after="80" w:before="160"/>
      </w:pPr>
      <w:r>
        <w:rPr>
          <w:rFonts w:ascii="Times New Roman" w:hAnsi="Times New Roman"/>
          <w:b/>
          <w:i w:val="0"/>
          <w:color w:val="2F5496"/>
          <w:sz w:val="24"/>
        </w:rPr>
        <w:t>8.1 What Has Been Established</w:t>
      </w:r>
    </w:p>
    <w:p>
      <w:pPr>
        <w:spacing w:after="60"/>
      </w:pPr>
      <w:r>
        <w:rPr>
          <w:rFonts w:ascii="Times New Roman" w:hAnsi="Times New Roman"/>
          <w:b w:val="0"/>
          <w:i w:val="0"/>
          <w:color w:val="000000"/>
          <w:sz w:val="22"/>
        </w:rPr>
        <w:t>Papers 4 and 5 establish surface invariants: what the lifecycle does. Stage functions are non-interchangeable, transitions are directed, reseeding is viability-gated, and operator–stage bindings are conserved across domains. These are empirical regularities, not explanations.</w:t>
      </w:r>
    </w:p>
    <w:p>
      <w:pPr>
        <w:spacing w:after="80" w:before="160"/>
      </w:pPr>
      <w:r>
        <w:rPr>
          <w:rFonts w:ascii="Times New Roman" w:hAnsi="Times New Roman"/>
          <w:b/>
          <w:i w:val="0"/>
          <w:color w:val="2F5496"/>
          <w:sz w:val="24"/>
        </w:rPr>
        <w:t>8.2 What Remains Unknown</w:t>
      </w:r>
    </w:p>
    <w:p>
      <w:pPr>
        <w:spacing w:after="60"/>
      </w:pPr>
      <w:r>
        <w:rPr>
          <w:rFonts w:ascii="Times New Roman" w:hAnsi="Times New Roman"/>
          <w:b w:val="0"/>
          <w:i w:val="0"/>
          <w:color w:val="000000"/>
          <w:sz w:val="22"/>
        </w:rPr>
        <w:t>The internal generator—why the lifecycle has this particular structure—is unknown. The mechanism roadmap identifies candidate classes of generators and specifies what each would need to explain.</w:t>
      </w:r>
    </w:p>
    <w:p>
      <w:pPr>
        <w:spacing w:after="80" w:before="160"/>
      </w:pPr>
      <w:r>
        <w:rPr>
          <w:rFonts w:ascii="Times New Roman" w:hAnsi="Times New Roman"/>
          <w:b/>
          <w:i w:val="0"/>
          <w:color w:val="2F5496"/>
          <w:sz w:val="24"/>
        </w:rPr>
        <w:t>8.3 Candidate Mechanism Classes</w:t>
      </w:r>
    </w:p>
    <w:p>
      <w:pPr>
        <w:spacing w:after="60"/>
      </w:pPr>
      <w:r>
        <w:rPr>
          <w:rFonts w:ascii="Times New Roman" w:hAnsi="Times New Roman"/>
          <w:b w:val="0"/>
          <w:i w:val="0"/>
          <w:color w:val="000000"/>
          <w:sz w:val="22"/>
        </w:rPr>
        <w:t>A. Finite state grammar. The lifecycle as a formal grammar with production rules. Each stage is a non-terminal symbol; transitions are rewrite rules. Would need to explain why the grammar has exactly four non-terminals and why the production rules are asymmetric.</w:t>
      </w:r>
    </w:p>
    <w:p>
      <w:pPr>
        <w:spacing w:after="60"/>
      </w:pPr>
      <w:r>
        <w:rPr>
          <w:rFonts w:ascii="Times New Roman" w:hAnsi="Times New Roman"/>
          <w:b w:val="0"/>
          <w:i w:val="0"/>
          <w:color w:val="000000"/>
          <w:sz w:val="22"/>
        </w:rPr>
        <w:t>B. Thermodynamic engine. The lifecycle as energy dissipation with phase transitions. Each stage corresponds to a thermodynamic regime. Would need to explain the specific operator–stage bindings without introducing domain-specific parameters.</w:t>
      </w:r>
    </w:p>
    <w:p>
      <w:pPr>
        <w:spacing w:after="60"/>
      </w:pPr>
      <w:r>
        <w:rPr>
          <w:rFonts w:ascii="Times New Roman" w:hAnsi="Times New Roman"/>
          <w:b w:val="0"/>
          <w:i w:val="0"/>
          <w:color w:val="000000"/>
          <w:sz w:val="22"/>
        </w:rPr>
        <w:t>C. Information bottleneck. The lifecycle as a compression–expansion cycle. Gathering stages expand the information channel; narrowing stages compress it. Would need to explain why the cycle has a fixed phase order rather than oscillating freely.</w:t>
      </w:r>
    </w:p>
    <w:p>
      <w:pPr>
        <w:spacing w:after="60"/>
      </w:pPr>
      <w:r>
        <w:rPr>
          <w:rFonts w:ascii="Times New Roman" w:hAnsi="Times New Roman"/>
          <w:b w:val="0"/>
          <w:i w:val="0"/>
          <w:color w:val="000000"/>
          <w:sz w:val="22"/>
        </w:rPr>
        <w:t>D. Evolutionary search architecture. The lifecycle as a structured exploration algorithm with generation, selection, refinement, and deployment phases. Would need to explain why this particular decomposition is favored over alternatives.</w:t>
      </w:r>
    </w:p>
    <w:p>
      <w:pPr>
        <w:spacing w:after="80" w:before="160"/>
      </w:pPr>
      <w:r>
        <w:rPr>
          <w:rFonts w:ascii="Times New Roman" w:hAnsi="Times New Roman"/>
          <w:b/>
          <w:i w:val="0"/>
          <w:color w:val="2F5496"/>
          <w:sz w:val="24"/>
        </w:rPr>
        <w:t>8.4 Success and Failure Criteria</w:t>
      </w:r>
    </w:p>
    <w:p>
      <w:pPr>
        <w:spacing w:after="60"/>
      </w:pPr>
      <w:r>
        <w:rPr>
          <w:rFonts w:ascii="Times New Roman" w:hAnsi="Times New Roman"/>
          <w:b w:val="0"/>
          <w:i w:val="0"/>
          <w:color w:val="000000"/>
          <w:sz w:val="22"/>
        </w:rPr>
        <w:t>A candidate mechanism succeeds if it can generate the empirical signatures—permutation uniqueness, reseeding structure, cross-domain convergence—when run as a simulation without hand-coding them. A candidate mechanism fails if it requires excessive tuning, domain-specific parameters, or explicit encoding of the signatures it is supposed to explain. This is explicitly a future research lane, not a current claim.</w:t>
      </w:r>
    </w:p>
    <w:p>
      <w:pPr>
        <w:spacing w:after="120" w:before="240"/>
      </w:pPr>
      <w:r>
        <w:rPr>
          <w:rFonts w:ascii="Times New Roman" w:hAnsi="Times New Roman"/>
          <w:b/>
          <w:i w:val="0"/>
          <w:color w:val="2F5496"/>
          <w:sz w:val="28"/>
        </w:rPr>
        <w:t>9. Open Problems</w:t>
      </w:r>
    </w:p>
    <w:p>
      <w:pPr>
        <w:spacing w:after="60"/>
      </w:pPr>
      <w:r>
        <w:rPr>
          <w:rFonts w:ascii="Times New Roman" w:hAnsi="Times New Roman"/>
          <w:b w:val="0"/>
          <w:i w:val="0"/>
          <w:color w:val="000000"/>
          <w:sz w:val="22"/>
        </w:rPr>
        <w:t>The following problems represent the current frontiers of TFP research:</w:t>
      </w:r>
    </w:p>
    <w:p>
      <w:pPr>
        <w:spacing w:after="60"/>
      </w:pPr>
      <w:r>
        <w:rPr>
          <w:rFonts w:ascii="Times New Roman" w:hAnsi="Times New Roman"/>
          <w:b/>
          <w:i w:val="0"/>
          <w:color w:val="000000"/>
          <w:sz w:val="22"/>
        </w:rPr>
        <w:t>1. Direct Q1 measurement.</w:t>
      </w:r>
      <w:r>
        <w:rPr>
          <w:rFonts w:ascii="Times New Roman" w:hAnsi="Times New Roman"/>
          <w:b w:val="0"/>
          <w:i w:val="0"/>
          <w:color w:val="000000"/>
          <w:sz w:val="22"/>
        </w:rPr>
        <w:t xml:space="preserve"> Q1 (internal preparation) has not been directly measured. Testing requires process-tracing methods such as eye-tracking, think-aloud protocols, or neural recording during the earliest stages of a lifecycle process.</w:t>
      </w:r>
    </w:p>
    <w:p>
      <w:pPr>
        <w:spacing w:after="60"/>
      </w:pPr>
      <w:r>
        <w:rPr>
          <w:rFonts w:ascii="Times New Roman" w:hAnsi="Times New Roman"/>
          <w:b/>
          <w:i w:val="0"/>
          <w:color w:val="000000"/>
          <w:sz w:val="22"/>
        </w:rPr>
        <w:t>2. Direct Q4A measurement.</w:t>
      </w:r>
      <w:r>
        <w:rPr>
          <w:rFonts w:ascii="Times New Roman" w:hAnsi="Times New Roman"/>
          <w:b w:val="0"/>
          <w:i w:val="0"/>
          <w:color w:val="000000"/>
          <w:sz w:val="22"/>
        </w:rPr>
        <w:t xml:space="preserve"> Q4A (deployment continuation) has not been independently validated. Testing requires multi-stage tracking of systems that successfully pass the Q4 viability gate.</w:t>
      </w:r>
    </w:p>
    <w:p>
      <w:pPr>
        <w:spacing w:after="60"/>
      </w:pPr>
      <w:r>
        <w:rPr>
          <w:rFonts w:ascii="Times New Roman" w:hAnsi="Times New Roman"/>
          <w:b/>
          <w:i w:val="0"/>
          <w:color w:val="000000"/>
          <w:sz w:val="22"/>
        </w:rPr>
        <w:t>3. B_in independent validation.</w:t>
      </w:r>
      <w:r>
        <w:rPr>
          <w:rFonts w:ascii="Times New Roman" w:hAnsi="Times New Roman"/>
          <w:b w:val="0"/>
          <w:i w:val="0"/>
          <w:color w:val="000000"/>
          <w:sz w:val="22"/>
        </w:rPr>
        <w:t xml:space="preserve"> The internal stabilization operator (B_in) has not been tested independently of the other operators. Developing independent B_in metrics is a prerequisite for full four-operator validation.</w:t>
      </w:r>
    </w:p>
    <w:p>
      <w:pPr>
        <w:spacing w:after="60"/>
      </w:pPr>
      <w:r>
        <w:rPr>
          <w:rFonts w:ascii="Times New Roman" w:hAnsi="Times New Roman"/>
          <w:b/>
          <w:i w:val="0"/>
          <w:color w:val="000000"/>
          <w:sz w:val="22"/>
        </w:rPr>
        <w:t>4. Non-institutional domain testing.</w:t>
      </w:r>
      <w:r>
        <w:rPr>
          <w:rFonts w:ascii="Times New Roman" w:hAnsi="Times New Roman"/>
          <w:b w:val="0"/>
          <w:i w:val="0"/>
          <w:color w:val="000000"/>
          <w:sz w:val="22"/>
        </w:rPr>
        <w:t xml:space="preserve"> All current TFP evidence comes from institutional domains (standards bodies, clinical trials, regulatory processes, patents). Testing in biological development, ecological succession, immune response, or other non-institutional domains is needed to assess the generality of the claims.</w:t>
      </w:r>
    </w:p>
    <w:p>
      <w:pPr>
        <w:spacing w:after="60"/>
      </w:pPr>
      <w:r>
        <w:rPr>
          <w:rFonts w:ascii="Times New Roman" w:hAnsi="Times New Roman"/>
          <w:b/>
          <w:i w:val="0"/>
          <w:color w:val="000000"/>
          <w:sz w:val="22"/>
        </w:rPr>
        <w:t>5. Stronger quantitative predictions.</w:t>
      </w:r>
      <w:r>
        <w:rPr>
          <w:rFonts w:ascii="Times New Roman" w:hAnsi="Times New Roman"/>
          <w:b w:val="0"/>
          <w:i w:val="0"/>
          <w:color w:val="000000"/>
          <w:sz w:val="22"/>
        </w:rPr>
        <w:t xml:space="preserve"> Current TFP predictions are directional (operator X peaks at stage Y). Moving to quantitative predictions—specifying expected effect size ranges—would strengthen the framework's falsifiability.</w:t>
      </w:r>
    </w:p>
    <w:p>
      <w:pPr>
        <w:spacing w:after="60"/>
      </w:pPr>
      <w:r>
        <w:rPr>
          <w:rFonts w:ascii="Times New Roman" w:hAnsi="Times New Roman"/>
          <w:b/>
          <w:i w:val="0"/>
          <w:color w:val="000000"/>
          <w:sz w:val="22"/>
        </w:rPr>
        <w:t>6. Domain boundary conditions.</w:t>
      </w:r>
      <w:r>
        <w:rPr>
          <w:rFonts w:ascii="Times New Roman" w:hAnsi="Times New Roman"/>
          <w:b w:val="0"/>
          <w:i w:val="0"/>
          <w:color w:val="000000"/>
          <w:sz w:val="22"/>
        </w:rPr>
        <w:t xml:space="preserve"> Systematic identification of which systems exhibit TFP structure and which do not. Understanding why some systems lack lifecycle structure is as important as understanding why others have it.</w:t>
      </w:r>
    </w:p>
    <w:p>
      <w:pPr>
        <w:spacing w:after="60"/>
      </w:pPr>
      <w:r>
        <w:rPr>
          <w:rFonts w:ascii="Times New Roman" w:hAnsi="Times New Roman"/>
          <w:b/>
          <w:i w:val="0"/>
          <w:color w:val="000000"/>
          <w:sz w:val="22"/>
        </w:rPr>
        <w:t>7. Inside-out generator search.</w:t>
      </w:r>
      <w:r>
        <w:rPr>
          <w:rFonts w:ascii="Times New Roman" w:hAnsi="Times New Roman"/>
          <w:b w:val="0"/>
          <w:i w:val="0"/>
          <w:color w:val="000000"/>
          <w:sz w:val="22"/>
        </w:rPr>
        <w:t xml:space="preserve"> Identifying the mechanism that generates the observed surface invariants (see Section 8).</w:t>
      </w:r>
    </w:p>
    <w:p>
      <w:pPr>
        <w:spacing w:after="60"/>
      </w:pPr>
      <w:r>
        <w:rPr>
          <w:rFonts w:ascii="Times New Roman" w:hAnsi="Times New Roman"/>
          <w:b/>
          <w:i w:val="0"/>
          <w:color w:val="000000"/>
          <w:sz w:val="22"/>
        </w:rPr>
        <w:t>8. Operator irreducibility.</w:t>
      </w:r>
      <w:r>
        <w:rPr>
          <w:rFonts w:ascii="Times New Roman" w:hAnsi="Times New Roman"/>
          <w:b w:val="0"/>
          <w:i w:val="0"/>
          <w:color w:val="000000"/>
          <w:sz w:val="22"/>
        </w:rPr>
        <w:t xml:space="preserve"> Are four operators the minimum number required, or could the observed signatures be explained by fewer (or more) operators? Formal analysis of operator independence and irreducibility is needed.</w:t>
      </w:r>
    </w:p>
    <w:p>
      <w:pPr>
        <w:spacing w:after="60"/>
      </w:pPr>
      <w:r>
        <w:rPr>
          <w:rFonts w:ascii="Times New Roman" w:hAnsi="Times New Roman"/>
          <w:b/>
          <w:i w:val="0"/>
          <w:color w:val="000000"/>
          <w:sz w:val="22"/>
        </w:rPr>
        <w:t>9. Cross-scale isomorphism.</w:t>
      </w:r>
      <w:r>
        <w:rPr>
          <w:rFonts w:ascii="Times New Roman" w:hAnsi="Times New Roman"/>
          <w:b w:val="0"/>
          <w:i w:val="0"/>
          <w:color w:val="000000"/>
          <w:sz w:val="22"/>
        </w:rPr>
        <w:t xml:space="preserve"> TFP predicts that the same lifecycle structure appears at micro, meso, and macro scales. This prediction has not been tested.</w:t>
      </w:r>
    </w:p>
    <w:p>
      <w:pPr>
        <w:spacing w:after="60"/>
      </w:pPr>
      <w:r>
        <w:rPr>
          <w:rFonts w:ascii="Times New Roman" w:hAnsi="Times New Roman"/>
          <w:b/>
          <w:i w:val="0"/>
          <w:color w:val="000000"/>
          <w:sz w:val="22"/>
        </w:rPr>
        <w:t>10. Relation to existing frameworks.</w:t>
      </w:r>
      <w:r>
        <w:rPr>
          <w:rFonts w:ascii="Times New Roman" w:hAnsi="Times New Roman"/>
          <w:b w:val="0"/>
          <w:i w:val="0"/>
          <w:color w:val="000000"/>
          <w:sz w:val="22"/>
        </w:rPr>
        <w:t xml:space="preserve"> Systematic comparison of TFP with explore–exploit models, lifecycle frameworks in organizational science, phase transition models in physics, and developmental stage theories in biology.</w:t>
      </w:r>
    </w:p>
    <w:p>
      <w:pPr>
        <w:spacing w:after="120" w:before="240"/>
      </w:pPr>
      <w:r>
        <w:rPr>
          <w:rFonts w:ascii="Times New Roman" w:hAnsi="Times New Roman"/>
          <w:b/>
          <w:i w:val="0"/>
          <w:color w:val="2F5496"/>
          <w:sz w:val="28"/>
        </w:rPr>
        <w:t>10. How Outside Researchers Can Contribute</w:t>
      </w:r>
    </w:p>
    <w:p>
      <w:pPr>
        <w:spacing w:after="60"/>
      </w:pPr>
      <w:r>
        <w:rPr>
          <w:rFonts w:ascii="Times New Roman" w:hAnsi="Times New Roman"/>
          <w:b w:val="0"/>
          <w:i w:val="0"/>
          <w:color w:val="000000"/>
          <w:sz w:val="22"/>
        </w:rPr>
        <w:t>TFP's next stage of progress depends on contributions from researchers with diverse backgrounds. The following paths indicate how different expertise maps to open problems.</w:t>
      </w:r>
    </w:p>
    <w:p>
      <w:pPr>
        <w:spacing w:after="60"/>
      </w:pPr>
      <w:r>
        <w:rPr>
          <w:rFonts w:ascii="Times New Roman" w:hAnsi="Times New Roman"/>
          <w:b/>
          <w:i w:val="0"/>
          <w:color w:val="000000"/>
          <w:sz w:val="22"/>
        </w:rPr>
        <w:t>Computational researchers:</w:t>
      </w:r>
      <w:r>
        <w:rPr>
          <w:rFonts w:ascii="Times New Roman" w:hAnsi="Times New Roman"/>
          <w:b w:val="0"/>
          <w:i w:val="0"/>
          <w:color w:val="000000"/>
          <w:sz w:val="22"/>
        </w:rPr>
        <w:t xml:space="preserve"> Run the permutation search on new domains, build latent-state rival models, search for minimal generators that reproduce TFP's signatures.</w:t>
      </w:r>
    </w:p>
    <w:p>
      <w:pPr>
        <w:spacing w:after="60"/>
      </w:pPr>
      <w:r>
        <w:rPr>
          <w:rFonts w:ascii="Times New Roman" w:hAnsi="Times New Roman"/>
          <w:b/>
          <w:i w:val="0"/>
          <w:color w:val="000000"/>
          <w:sz w:val="22"/>
        </w:rPr>
        <w:t>Behavioral scientists:</w:t>
      </w:r>
      <w:r>
        <w:rPr>
          <w:rFonts w:ascii="Times New Roman" w:hAnsi="Times New Roman"/>
          <w:b w:val="0"/>
          <w:i w:val="0"/>
          <w:color w:val="000000"/>
          <w:sz w:val="22"/>
        </w:rPr>
        <w:t xml:space="preserve"> Test Q1 and Q4B predictions with process-tracing methods, design experiments that distinguish TFP from generic explore–exploit models.</w:t>
      </w:r>
    </w:p>
    <w:p>
      <w:pPr>
        <w:spacing w:after="60"/>
      </w:pPr>
      <w:r>
        <w:rPr>
          <w:rFonts w:ascii="Times New Roman" w:hAnsi="Times New Roman"/>
          <w:b/>
          <w:i w:val="0"/>
          <w:color w:val="000000"/>
          <w:sz w:val="22"/>
        </w:rPr>
        <w:t>Complexity scientists:</w:t>
      </w:r>
      <w:r>
        <w:rPr>
          <w:rFonts w:ascii="Times New Roman" w:hAnsi="Times New Roman"/>
          <w:b w:val="0"/>
          <w:i w:val="0"/>
          <w:color w:val="000000"/>
          <w:sz w:val="22"/>
        </w:rPr>
        <w:t xml:space="preserve"> Formalize the lifecycle as a dynamical system, test cross-scale predictions, explore connections to phase transition theory.</w:t>
      </w:r>
    </w:p>
    <w:p>
      <w:pPr>
        <w:spacing w:after="60"/>
      </w:pPr>
      <w:r>
        <w:rPr>
          <w:rFonts w:ascii="Times New Roman" w:hAnsi="Times New Roman"/>
          <w:b/>
          <w:i w:val="0"/>
          <w:color w:val="000000"/>
          <w:sz w:val="22"/>
        </w:rPr>
        <w:t>Data scientists:</w:t>
      </w:r>
      <w:r>
        <w:rPr>
          <w:rFonts w:ascii="Times New Roman" w:hAnsi="Times New Roman"/>
          <w:b w:val="0"/>
          <w:i w:val="0"/>
          <w:color w:val="000000"/>
          <w:sz w:val="22"/>
        </w:rPr>
        <w:t xml:space="preserve"> Apply the benchmark pipeline to new lifecycle datasets, develop improved operator metrics, test sensitivity to metric choice.</w:t>
      </w:r>
    </w:p>
    <w:p>
      <w:pPr>
        <w:spacing w:after="60"/>
      </w:pPr>
      <w:r>
        <w:rPr>
          <w:rFonts w:ascii="Times New Roman" w:hAnsi="Times New Roman"/>
          <w:b/>
          <w:i w:val="0"/>
          <w:color w:val="000000"/>
          <w:sz w:val="22"/>
        </w:rPr>
        <w:t>AI researchers:</w:t>
      </w:r>
      <w:r>
        <w:rPr>
          <w:rFonts w:ascii="Times New Roman" w:hAnsi="Times New Roman"/>
          <w:b w:val="0"/>
          <w:i w:val="0"/>
          <w:color w:val="000000"/>
          <w:sz w:val="22"/>
        </w:rPr>
        <w:t xml:space="preserve"> Build TFP-inspired architectures, test whether TFP lifecycle structure improves reinforcement learning agents, investigate whether learned agents spontaneously develop TFP-like stage structure.</w:t>
      </w:r>
    </w:p>
    <w:p>
      <w:pPr>
        <w:spacing w:after="60"/>
      </w:pPr>
      <w:r>
        <w:rPr>
          <w:rFonts w:ascii="Times New Roman" w:hAnsi="Times New Roman"/>
          <w:b/>
          <w:i w:val="0"/>
          <w:color w:val="000000"/>
          <w:sz w:val="22"/>
        </w:rPr>
        <w:t>Methodologists:</w:t>
      </w:r>
      <w:r>
        <w:rPr>
          <w:rFonts w:ascii="Times New Roman" w:hAnsi="Times New Roman"/>
          <w:b w:val="0"/>
          <w:i w:val="0"/>
          <w:color w:val="000000"/>
          <w:sz w:val="22"/>
        </w:rPr>
        <w:t xml:space="preserve"> Develop better falsification tests, formalize the invariant hierarchy, design statistical frameworks for comparing lifecycle grammars.</w:t>
      </w:r>
    </w:p>
    <w:p>
      <w:pPr>
        <w:spacing w:after="120" w:before="240"/>
      </w:pPr>
      <w:r>
        <w:rPr>
          <w:rFonts w:ascii="Times New Roman" w:hAnsi="Times New Roman"/>
          <w:b/>
          <w:i w:val="0"/>
          <w:color w:val="2F5496"/>
          <w:sz w:val="28"/>
        </w:rPr>
        <w:t>11. Conclusion</w:t>
      </w:r>
    </w:p>
    <w:p>
      <w:pPr>
        <w:spacing w:after="60"/>
      </w:pPr>
      <w:r>
        <w:rPr>
          <w:rFonts w:ascii="Times New Roman" w:hAnsi="Times New Roman"/>
          <w:b w:val="0"/>
          <w:i w:val="0"/>
          <w:color w:val="000000"/>
          <w:sz w:val="22"/>
        </w:rPr>
        <w:t>TFP has moved from a private theory to an early-stage research program with multiple independently tested components. Its strongest current contribution is as a proposed lifecycle grammar with specific, falsifiable predictions about stage function non-interchangeability and post-failure reseeding structure. Six core signatures have been validated at high confidence across multiple institutional domains, three supporting results provide additional evidence at medium confidence, and five predictions remain untested or only partially tested.</w:t>
      </w:r>
    </w:p>
    <w:p>
      <w:pPr>
        <w:spacing w:after="60"/>
      </w:pPr>
      <w:r>
        <w:rPr>
          <w:rFonts w:ascii="Times New Roman" w:hAnsi="Times New Roman"/>
          <w:b w:val="0"/>
          <w:i w:val="0"/>
          <w:color w:val="000000"/>
          <w:sz w:val="22"/>
        </w:rPr>
        <w:t>The canonical invariant hierarchy (Section 4) provides a clear map of what is well-established and what is speculative. The benchmark tasks (Section 7) provide explicit rival models, minimum data requirements, and kill criteria for each claim. The mechanism roadmap (Section 8) identifies the gap between surface invariants and their underlying generator without overstating current theoretical understanding.</w:t>
      </w:r>
    </w:p>
    <w:p>
      <w:pPr>
        <w:spacing w:after="60"/>
      </w:pPr>
      <w:r>
        <w:rPr>
          <w:rFonts w:ascii="Times New Roman" w:hAnsi="Times New Roman"/>
          <w:b w:val="0"/>
          <w:i w:val="0"/>
          <w:color w:val="000000"/>
          <w:sz w:val="22"/>
        </w:rPr>
        <w:t>The next stage of progress depends on independent replication and extension by outside researchers. Researchers who find that TFP predictions hold in new domains will strengthen the program's empirical foundation. Researchers who find that predictions fail will help identify boundary conditions and may reveal fundamental limitations. Both outcomes advance the research program. This paper provides the tools to begin.</w:t>
      </w:r>
    </w:p>
    <w:p>
      <w:pPr>
        <w:spacing w:after="120" w:before="240"/>
      </w:pPr>
      <w:r>
        <w:rPr>
          <w:rFonts w:ascii="Times New Roman" w:hAnsi="Times New Roman"/>
          <w:b/>
          <w:i w:val="0"/>
          <w:color w:val="2F5496"/>
          <w:sz w:val="28"/>
        </w:rPr>
        <w:t>References</w:t>
      </w:r>
    </w:p>
    <w:p>
      <w:pPr>
        <w:spacing w:after="60"/>
      </w:pPr>
      <w:r>
        <w:rPr>
          <w:rFonts w:ascii="Times New Roman" w:hAnsi="Times New Roman"/>
          <w:b w:val="0"/>
          <w:i w:val="0"/>
          <w:color w:val="000000"/>
          <w:sz w:val="22"/>
        </w:rPr>
        <w:t>[1] Ollar, A. (2026). Dual-Memory Dissociation in Adaptive Sequential Decision-Making: A Simulation Study. Submitted to Expert Systems with Applications. Preprint available at https://doi.org/10.5281/zenodo.18930571.</w:t>
      </w:r>
    </w:p>
    <w:p>
      <w:pPr>
        <w:spacing w:after="60"/>
      </w:pPr>
      <w:r>
        <w:rPr>
          <w:rFonts w:ascii="Times New Roman" w:hAnsi="Times New Roman"/>
          <w:b w:val="0"/>
          <w:i w:val="0"/>
          <w:color w:val="000000"/>
          <w:sz w:val="22"/>
        </w:rPr>
        <w:t>[2] Ollar, A. (2026). Battery Attribution and Cross-Dataset Dissociation of Lifecycle Stage Functions. Submitted to Journal of Power Sources. Preprint available upon request.</w:t>
      </w:r>
    </w:p>
    <w:p>
      <w:pPr>
        <w:spacing w:after="60"/>
      </w:pPr>
      <w:r>
        <w:rPr>
          <w:rFonts w:ascii="Times New Roman" w:hAnsi="Times New Roman"/>
          <w:b w:val="0"/>
          <w:i w:val="0"/>
          <w:color w:val="000000"/>
          <w:sz w:val="22"/>
        </w:rPr>
        <w:t>[3] Ollar, A. (2026). Structured Reseeding After Failure: Depletion-Gated Reorientation in a Foraging Task. Zenodo. https://doi.org/10.5281/zenodo.18930571</w:t>
      </w:r>
    </w:p>
    <w:p>
      <w:pPr>
        <w:spacing w:after="60"/>
      </w:pPr>
      <w:r>
        <w:rPr>
          <w:rFonts w:ascii="Times New Roman" w:hAnsi="Times New Roman"/>
          <w:b w:val="0"/>
          <w:i w:val="0"/>
          <w:color w:val="000000"/>
          <w:sz w:val="22"/>
        </w:rPr>
        <w:t>[4] Ollar, A. (2026). Structural Opposition and Viability-Gated Reseeding in Institutional Lifecycles. Preprint available at https://doi.org/10.5281/zenodo.18930571.</w:t>
      </w:r>
    </w:p>
    <w:p>
      <w:pPr>
        <w:spacing w:after="60"/>
      </w:pPr>
      <w:r>
        <w:rPr>
          <w:rFonts w:ascii="Times New Roman" w:hAnsi="Times New Roman"/>
          <w:b w:val="0"/>
          <w:i w:val="0"/>
          <w:color w:val="000000"/>
          <w:sz w:val="22"/>
        </w:rPr>
        <w:t>[5] Ollar, A. (2026). Conserved Operator–Stage Binding Across Institutional Domains: A Permutation-Based Test of Lifecycle Grammar Non-Interchangeability. Preprint in preparation.</w:t>
      </w:r>
    </w:p>
    <w:p>
      <w:pPr>
        <w:spacing w:after="60"/>
      </w:pPr>
      <w:r>
        <w:rPr>
          <w:rFonts w:ascii="Times New Roman" w:hAnsi="Times New Roman"/>
          <w:b w:val="0"/>
          <w:i w:val="0"/>
          <w:color w:val="000000"/>
          <w:sz w:val="22"/>
        </w:rPr>
        <w:t>[6] Tishby, N., Pereira, F. C., &amp; Bialek, W. (2000). The information bottleneck method. Proceedings of the 37th Annual Allerton Conference on Communication, Control, and Computing, 368–377.</w:t>
      </w:r>
    </w:p>
    <w:p>
      <w:pPr>
        <w:spacing w:after="60"/>
      </w:pPr>
      <w:r>
        <w:rPr>
          <w:rFonts w:ascii="Times New Roman" w:hAnsi="Times New Roman"/>
          <w:b w:val="0"/>
          <w:i w:val="0"/>
          <w:color w:val="000000"/>
          <w:sz w:val="22"/>
        </w:rPr>
        <w:t>[7] Holland, J. H. (1975). Adaptation in Natural and Artificial Systems. University of Michigan Press.</w:t>
      </w:r>
    </w:p>
    <w:p>
      <w:pPr>
        <w:spacing w:after="60"/>
      </w:pPr>
      <w:r>
        <w:rPr>
          <w:rFonts w:ascii="Times New Roman" w:hAnsi="Times New Roman"/>
          <w:b w:val="0"/>
          <w:i w:val="0"/>
          <w:color w:val="000000"/>
          <w:sz w:val="22"/>
        </w:rPr>
        <w:t>[8] Levinthal, D. A. (1997). Adaptation on rugged landscapes. Management Science, 43(7), 934–950.</w:t>
      </w:r>
    </w:p>
    <w:p>
      <w:pPr>
        <w:spacing w:after="60"/>
      </w:pPr>
      <w:r>
        <w:rPr>
          <w:rFonts w:ascii="Times New Roman" w:hAnsi="Times New Roman"/>
          <w:b w:val="0"/>
          <w:i w:val="0"/>
          <w:color w:val="000000"/>
          <w:sz w:val="22"/>
        </w:rPr>
        <w:t>[9] March, J. G. (1991). Exploration and exploitation in organizational learning. Organization Science, 2(1), 71–87.</w:t>
      </w:r>
    </w:p>
    <w:p>
      <w:pPr>
        <w:spacing w:after="60"/>
      </w:pPr>
      <w:r>
        <w:rPr>
          <w:rFonts w:ascii="Times New Roman" w:hAnsi="Times New Roman"/>
          <w:b w:val="0"/>
          <w:i w:val="0"/>
          <w:color w:val="000000"/>
          <w:sz w:val="22"/>
        </w:rPr>
        <w:t>[10] Rabiner, L. R. (1989). A tutorial on hidden Markov models and selected applications in speech recognition. Proceedings of the IEEE, 77(2), 257–286.</w:t>
      </w:r>
    </w:p>
    <w:p>
      <w:pPr>
        <w:spacing w:after="120" w:before="240"/>
      </w:pPr>
      <w:r>
        <w:rPr>
          <w:rFonts w:ascii="Times New Roman" w:hAnsi="Times New Roman"/>
          <w:b/>
          <w:i w:val="0"/>
          <w:color w:val="2F5496"/>
          <w:sz w:val="28"/>
        </w:rPr>
        <w:t>Use of AI Tools</w:t>
      </w:r>
    </w:p>
    <w:p>
      <w:pPr>
        <w:spacing w:after="60"/>
      </w:pPr>
      <w:r>
        <w:rPr>
          <w:rFonts w:ascii="Times New Roman" w:hAnsi="Times New Roman"/>
          <w:b w:val="0"/>
          <w:i w:val="0"/>
          <w:color w:val="000000"/>
          <w:sz w:val="22"/>
        </w:rPr>
        <w:t>This paper was drafted with the assistance of Claude (Anthropic) for document formatting, structural organization, and prose editing. All theoretical content, empirical claims, operator definitions, confidence assessments, and research design decisions are the sole responsibility of the author. AI tools were not used for data analysis, statistical computation, or theoretical development. The author reviewed and approved all content prior to publication.</w:t>
      </w:r>
    </w:p>
    <w:p>
      <w:pPr>
        <w:spacing w:after="120" w:before="240"/>
      </w:pPr>
      <w:r>
        <w:rPr>
          <w:rFonts w:ascii="Times New Roman" w:hAnsi="Times New Roman"/>
          <w:b/>
          <w:i w:val="0"/>
          <w:color w:val="2F5496"/>
          <w:sz w:val="28"/>
        </w:rPr>
        <w:t>Data and Code Availability</w:t>
      </w:r>
    </w:p>
    <w:p>
      <w:pPr>
        <w:spacing w:after="60"/>
      </w:pPr>
      <w:r>
        <w:rPr>
          <w:rFonts w:ascii="Times New Roman" w:hAnsi="Times New Roman"/>
          <w:b w:val="0"/>
          <w:i w:val="0"/>
          <w:color w:val="000000"/>
          <w:sz w:val="22"/>
        </w:rPr>
        <w:t>Analysis code is currently in a private repository (aollar/TFP-core) and will be made public upon publication. In the interim, the public repository aollar/TFP-supplementary-materials (https://github.com/aollar/TFP-supplementary-materials) contains papers, preregistration, and benchmark specifications.</w:t>
      </w:r>
    </w:p>
    <w:p>
      <w:pPr>
        <w:spacing w:after="60"/>
      </w:pPr>
      <w:r>
        <w:rPr>
          <w:rFonts w:ascii="Times New Roman" w:hAnsi="Times New Roman"/>
          <w:b w:val="0"/>
          <w:i w:val="0"/>
          <w:color w:val="000000"/>
          <w:sz w:val="22"/>
        </w:rPr>
        <w:t>Public datasets used in the TFP research program:</w:t>
      </w:r>
    </w:p>
    <w:p>
      <w:pPr>
        <w:spacing w:after="60"/>
      </w:pPr>
      <w:r>
        <w:rPr>
          <w:rFonts w:ascii="Times New Roman" w:hAnsi="Times New Roman"/>
          <w:b w:val="0"/>
          <w:i w:val="0"/>
          <w:color w:val="000000"/>
          <w:sz w:val="22"/>
        </w:rPr>
        <w:t>• IETF RFC and Internet-Draft archives: https://www.ietf.org/standards/rfcs/</w:t>
      </w:r>
    </w:p>
    <w:p>
      <w:pPr>
        <w:spacing w:after="60"/>
      </w:pPr>
      <w:r>
        <w:rPr>
          <w:rFonts w:ascii="Times New Roman" w:hAnsi="Times New Roman"/>
          <w:b w:val="0"/>
          <w:i w:val="0"/>
          <w:color w:val="000000"/>
          <w:sz w:val="22"/>
        </w:rPr>
        <w:t>• ClinicalTrials.gov: https://clinicaltrials.gov/</w:t>
      </w:r>
    </w:p>
    <w:p>
      <w:pPr>
        <w:spacing w:after="60"/>
      </w:pPr>
      <w:r>
        <w:rPr>
          <w:rFonts w:ascii="Times New Roman" w:hAnsi="Times New Roman"/>
          <w:b w:val="0"/>
          <w:i w:val="0"/>
          <w:color w:val="000000"/>
          <w:sz w:val="22"/>
        </w:rPr>
        <w:t>• Federal Register (EPA rules): https://www.federalregister.gov/</w:t>
      </w:r>
    </w:p>
    <w:p>
      <w:pPr>
        <w:spacing w:after="60"/>
      </w:pPr>
      <w:r>
        <w:rPr>
          <w:rFonts w:ascii="Times New Roman" w:hAnsi="Times New Roman"/>
          <w:b w:val="0"/>
          <w:i w:val="0"/>
          <w:color w:val="000000"/>
          <w:sz w:val="22"/>
        </w:rPr>
        <w:t>• USPTO Patent Data: https://bulkdata.uspto.gov/</w:t>
      </w:r>
    </w:p>
    <w:p>
      <w:pPr>
        <w:spacing w:after="60"/>
      </w:pPr>
      <w:r>
        <w:rPr>
          <w:rFonts w:ascii="Times New Roman" w:hAnsi="Times New Roman"/>
          <w:b w:val="0"/>
          <w:i w:val="0"/>
          <w:color w:val="000000"/>
          <w:sz w:val="22"/>
        </w:rPr>
        <w:t>• Python Enhancement Proposals: https://peps.python.org/</w:t>
      </w:r>
    </w:p>
    <w:p>
      <w:pPr>
        <w:spacing w:after="60"/>
      </w:pPr>
      <w:r>
        <w:rPr>
          <w:rFonts w:ascii="Times New Roman" w:hAnsi="Times New Roman"/>
          <w:b w:val="0"/>
          <w:i w:val="0"/>
          <w:color w:val="000000"/>
          <w:sz w:val="22"/>
        </w:rPr>
        <w:t>• OpenReview: https://openreview.net/</w:t>
      </w:r>
    </w:p>
    <w:sectPr w:rsidR="00FC693F" w:rsidRPr="0006063C" w:rsidSect="00034616">
      <w:footerReference w:type="default" r:id="rId9"/>
      <w:pgSz w:w="12240" w:h="15840"/>
      <w:pgMar w:top="1440" w:right="1800" w:bottom="172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