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Times New Roman" w:hAnsi="Times New Roman"/>
          <w:b/>
          <w:i w:val="0"/>
          <w:color w:val="2F5496"/>
          <w:sz w:val="52"/>
        </w:rPr>
        <w:t>The First Pattern Research Program:</w:t>
        <w:br/>
        <w:t>A Portable Framework for Testing Lifecycle Stage Structure Across Domains</w:t>
      </w:r>
    </w:p>
    <w:p>
      <w:pPr>
        <w:spacing w:before="0" w:after="120"/>
        <w:pBdr>
          <w:bottom w:val="single" w:sz="6" w:space="1" w:color="2F5496"/>
        </w:pBdr>
      </w:pPr>
    </w:p>
    <w:p>
      <w:pPr>
        <w:spacing w:before="0" w:after="60"/>
      </w:pPr>
      <w:r>
        <w:rPr>
          <w:rFonts w:ascii="Times New Roman" w:hAnsi="Times New Roman"/>
          <w:b/>
          <w:i w:val="0"/>
          <w:color w:val="000000"/>
          <w:sz w:val="22"/>
        </w:rPr>
        <w:t>Austin Ollar</w:t>
      </w:r>
    </w:p>
    <w:p>
      <w:pPr>
        <w:spacing w:before="0" w:after="60"/>
      </w:pPr>
      <w:r>
        <w:rPr>
          <w:rFonts w:ascii="Times New Roman" w:hAnsi="Times New Roman"/>
          <w:b w:val="0"/>
          <w:i w:val="0"/>
          <w:color w:val="000000"/>
          <w:sz w:val="22"/>
        </w:rPr>
        <w:t>ORCID: 0009-0002-9998-9287</w:t>
      </w:r>
    </w:p>
    <w:p>
      <w:pPr>
        <w:spacing w:before="0" w:after="60"/>
      </w:pPr>
      <w:r>
        <w:rPr>
          <w:rFonts w:ascii="Times New Roman" w:hAnsi="Times New Roman"/>
          <w:b w:val="0"/>
          <w:i w:val="0"/>
          <w:color w:val="000000"/>
          <w:sz w:val="22"/>
        </w:rPr>
        <w:t>March 2026</w:t>
      </w:r>
    </w:p>
    <w:p>
      <w:pPr>
        <w:spacing w:before="120" w:after="120"/>
      </w:pPr>
      <w:r>
        <w:rPr>
          <w:rFonts w:ascii="Times New Roman" w:hAnsi="Times New Roman"/>
          <w:b/>
          <w:i w:val="0"/>
          <w:color w:val="000000"/>
          <w:sz w:val="22"/>
        </w:rPr>
        <w:t xml:space="preserve">Keywords: </w:t>
      </w:r>
      <w:r>
        <w:rPr>
          <w:rFonts w:ascii="Times New Roman" w:hAnsi="Times New Roman"/>
          <w:b w:val="0"/>
          <w:i/>
          <w:color w:val="000000"/>
          <w:sz w:val="22"/>
        </w:rPr>
        <w:t>lifecycle grammar, information operators, stage non-interchangeability, reseeding, falsification, research program, cross-domain invariants</w:t>
      </w:r>
    </w:p>
    <w:p>
      <w:pPr>
        <w:spacing w:before="320" w:after="120"/>
      </w:pPr>
      <w:r>
        <w:rPr>
          <w:rFonts w:ascii="Times New Roman" w:hAnsi="Times New Roman"/>
          <w:b/>
          <w:i w:val="0"/>
          <w:color w:val="2F5496"/>
          <w:sz w:val="28"/>
        </w:rPr>
        <w:t>Abstract</w:t>
      </w:r>
    </w:p>
    <w:p>
      <w:pPr>
        <w:spacing w:before="0" w:after="60" w:line="260" w:lineRule="exact"/>
      </w:pPr>
      <w:r>
        <w:rPr>
          <w:rFonts w:ascii="Times New Roman" w:hAnsi="Times New Roman"/>
          <w:b w:val="0"/>
          <w:i w:val="0"/>
          <w:color w:val="000000"/>
          <w:sz w:val="22"/>
        </w:rPr>
        <w:t>The First Pattern (TFP) proposes that adaptive processes follow a directed lifecycle with conserved, non-interchangeable stage functions. Specifically, TFP posits a four-quadrant Information Emergence Cycle (IEC) in which each stage is governed by a distinct information operator—internal stabilization, external gathering, internal narrowing, and external commitment—and that these operator-stage bindings are conserved across domains. This paper provides the minimum viable research package for outside researchers to test, falsify, or extend TFP. We summarize the current evidence base spanning two flagship papers and three supporting papers, define the canonical claims with explicit confidence levels, specify benchmark tasks and rival models with kill criteria, and identify ten open problems. The goal is to make TFP a portable research program rather than a private theory. We provide step-by-step guidance for applying TFP’s predictions to new lifecycle datasets, a hierarchy of invariant claims ranked by empirical support, locked operator definitions with measurable proxies, and a mechanism roadmap for future theoretical work. Every claim carries an explicit confidence level and every test carries explicit failure criteria. Researchers who find that TFP’s predictions fail in their domain will have contributed as much to the program as those who find support.</w:t>
      </w:r>
    </w:p>
    <w:p>
      <w:pPr>
        <w:spacing w:before="320" w:after="120"/>
      </w:pPr>
      <w:r>
        <w:rPr>
          <w:rFonts w:ascii="Times New Roman" w:hAnsi="Times New Roman"/>
          <w:b/>
          <w:i w:val="0"/>
          <w:color w:val="2F5496"/>
          <w:sz w:val="28"/>
        </w:rPr>
        <w:t>1. Introduction</w:t>
      </w:r>
    </w:p>
    <w:p>
      <w:pPr>
        <w:spacing w:before="0" w:after="60" w:line="260" w:lineRule="exact"/>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Rather than proposing that all systems follow a single template, TFP identifies a specific structural invariant—that the functions performed at each lifecycle stage are not arbitrary but are drawn from a conserved set of information operators bound to specific positions in the lifecycle sequence.</w:t>
      </w:r>
    </w:p>
    <w:p>
      <w:pPr>
        <w:spacing w:before="0" w:after="60" w:line="260" w:lineRule="exact"/>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before="0" w:after="60" w:line="260" w:lineRule="exact"/>
      </w:pPr>
      <w:r>
        <w:rPr>
          <w:rFonts w:ascii="Times New Roman" w:hAnsi="Times New Roman"/>
          <w:b w:val="0"/>
          <w:i w:val="0"/>
          <w:color w:val="000000"/>
          <w:sz w:val="22"/>
        </w:rPr>
        <w:t>The purpose of this paper is to make TFP testable by outside researchers. We provide: (a) precise definitions of what TFP claims and does not claim; (b) a summary of what has been validated and at what confidence level; (c) locked operator definitions with measurable proxies; (d) step-by-step instructions for testing TFP on a new domain; (e) benchmark tasks with rival models and kill criteria; (f) a mechanism roadmap for future theoretical work; and (g) a catalog of open problems.</w:t>
      </w:r>
    </w:p>
    <w:p>
      <w:pPr>
        <w:spacing w:before="0" w:after="60" w:line="260" w:lineRule="exact"/>
      </w:pPr>
      <w:r>
        <w:rPr>
          <w:rFonts w:ascii="Times New Roman" w:hAnsi="Times New Roman"/>
          <w:b w:val="0"/>
          <w:i w:val="0"/>
          <w:color w:val="000000"/>
          <w:sz w:val="22"/>
        </w:rPr>
        <w:t>This paper is not a theory pitch, not a proof, and not a manifesto. It is a research toolkit. Its value will be determined by whether outside researchers find it sufficient to run their own TFP tests without consulting the original author.</w:t>
      </w:r>
    </w:p>
    <w:p>
      <w:pPr>
        <w:spacing w:before="320" w:after="120"/>
      </w:pPr>
      <w:r>
        <w:rPr>
          <w:rFonts w:ascii="Times New Roman" w:hAnsi="Times New Roman"/>
          <w:b/>
          <w:i w:val="0"/>
          <w:color w:val="2F5496"/>
          <w:sz w:val="28"/>
        </w:rPr>
        <w:t>2. What TFP Claims</w:t>
      </w:r>
    </w:p>
    <w:p>
      <w:pPr>
        <w:spacing w:before="200" w:after="80"/>
      </w:pPr>
      <w:r>
        <w:rPr>
          <w:rFonts w:ascii="Times New Roman" w:hAnsi="Times New Roman"/>
          <w:b/>
          <w:i w:val="0"/>
          <w:color w:val="2F5496"/>
          <w:sz w:val="24"/>
        </w:rPr>
        <w:t>2.1 The Information Emergence Cycle</w:t>
      </w:r>
    </w:p>
    <w:p>
      <w:pPr>
        <w:spacing w:before="0" w:after="60" w:line="260" w:lineRule="exact"/>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 The four quadrants are:</w:t>
      </w:r>
    </w:p>
    <w:p>
      <w:pPr>
        <w:spacing w:before="0" w:after="40" w:line="260" w:lineRule="exact"/>
        <w:ind w:left="720" w:hanging="360"/>
      </w:pPr>
      <w:r>
        <w:rPr>
          <w:rFonts w:ascii="Times New Roman" w:hAnsi="Times New Roman"/>
          <w:b/>
          <w:i w:val="0"/>
          <w:color w:val="000000"/>
          <w:sz w:val="22"/>
        </w:rPr>
        <w:t xml:space="preserve">• Q1 (Generation): </w:t>
      </w:r>
      <w:r>
        <w:rPr>
          <w:rFonts w:ascii="Times New Roman" w:hAnsi="Times New Roman"/>
          <w:b w:val="0"/>
          <w:i w:val="0"/>
          <w:color w:val="000000"/>
          <w:sz w:val="22"/>
        </w:rPr>
        <w:t>Internal stabilization (B_in) + internal exploration (E_in). The system establishes an internal orientation and begins narrowing its initial possibility space.</w:t>
      </w:r>
    </w:p>
    <w:p>
      <w:pPr>
        <w:spacing w:before="0" w:after="40" w:line="260" w:lineRule="exact"/>
        <w:ind w:left="720" w:hanging="360"/>
      </w:pPr>
      <w:r>
        <w:rPr>
          <w:rFonts w:ascii="Times New Roman" w:hAnsi="Times New Roman"/>
          <w:b/>
          <w:i w:val="0"/>
          <w:color w:val="000000"/>
          <w:sz w:val="22"/>
        </w:rPr>
        <w:t xml:space="preserve">• Q2 (Selection): </w:t>
      </w:r>
      <w:r>
        <w:rPr>
          <w:rFonts w:ascii="Times New Roman" w:hAnsi="Times New Roman"/>
          <w:b w:val="0"/>
          <w:i w:val="0"/>
          <w:color w:val="000000"/>
          <w:sz w:val="22"/>
        </w:rPr>
        <w:t>External coupling (E_out) + internal consolidation (B_in). The system gathers external information broadly and consolidates internal references.</w:t>
      </w:r>
    </w:p>
    <w:p>
      <w:pPr>
        <w:spacing w:before="0" w:after="40" w:line="260" w:lineRule="exact"/>
        <w:ind w:left="720" w:hanging="360"/>
      </w:pPr>
      <w:r>
        <w:rPr>
          <w:rFonts w:ascii="Times New Roman" w:hAnsi="Times New Roman"/>
          <w:b/>
          <w:i w:val="0"/>
          <w:color w:val="000000"/>
          <w:sz w:val="22"/>
        </w:rPr>
        <w:t xml:space="preserve">• Q3 (Refinement): </w:t>
      </w:r>
      <w:r>
        <w:rPr>
          <w:rFonts w:ascii="Times New Roman" w:hAnsi="Times New Roman"/>
          <w:b w:val="0"/>
          <w:i w:val="0"/>
          <w:color w:val="000000"/>
          <w:sz w:val="22"/>
        </w:rPr>
        <w:t>Internal transformation (E_in) + external commitment (B_out). The system narrows options internally while beginning to commit externally.</w:t>
      </w:r>
    </w:p>
    <w:p>
      <w:pPr>
        <w:spacing w:before="0" w:after="40" w:line="260" w:lineRule="exact"/>
        <w:ind w:left="720" w:hanging="360"/>
      </w:pPr>
      <w:r>
        <w:rPr>
          <w:rFonts w:ascii="Times New Roman" w:hAnsi="Times New Roman"/>
          <w:b/>
          <w:i w:val="0"/>
          <w:color w:val="000000"/>
          <w:sz w:val="22"/>
        </w:rPr>
        <w:t xml:space="preserve">• Q4 (Deployment): </w:t>
      </w:r>
      <w:r>
        <w:rPr>
          <w:rFonts w:ascii="Times New Roman" w:hAnsi="Times New Roman"/>
          <w:b w:val="0"/>
          <w:i w:val="0"/>
          <w:color w:val="000000"/>
          <w:sz w:val="22"/>
        </w:rPr>
        <w:t>Irreversible commitment (B_out) + external propagation (E_out). The system makes persistent external writes. Q4 bifurcates into Q4A (continuation along the current trajectory) and Q4B (reseeding—viability-gated return to earlier lifecycle functions after failure).</w:t>
      </w:r>
    </w:p>
    <w:p>
      <w:pPr>
        <w:spacing w:before="200" w:after="80"/>
      </w:pPr>
      <w:r>
        <w:rPr>
          <w:rFonts w:ascii="Times New Roman" w:hAnsi="Times New Roman"/>
          <w:b/>
          <w:i w:val="0"/>
          <w:color w:val="2F5496"/>
          <w:sz w:val="24"/>
        </w:rPr>
        <w:t>2.2 The Four Information Operators</w:t>
      </w:r>
    </w:p>
    <w:p>
      <w:pPr>
        <w:spacing w:before="0" w:after="60" w:line="260" w:lineRule="exact"/>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before="0" w:after="40" w:line="260" w:lineRule="exact"/>
        <w:ind w:left="720" w:hanging="360"/>
      </w:pPr>
      <w:r>
        <w:rPr>
          <w:rFonts w:ascii="Times New Roman" w:hAnsi="Times New Roman"/>
          <w:b w:val="0"/>
          <w:i w:val="0"/>
          <w:color w:val="000000"/>
          <w:sz w:val="22"/>
        </w:rPr>
        <w:t>• B_in (Internal anchor): Sticky internal reference resistant to change. Measurable as revision rate decline, protocol stability, self-citation persistence.</w:t>
      </w:r>
    </w:p>
    <w:p>
      <w:pPr>
        <w:spacing w:before="0" w:after="40" w:line="260" w:lineRule="exact"/>
        <w:ind w:left="720" w:hanging="360"/>
      </w:pPr>
      <w:r>
        <w:rPr>
          <w:rFonts w:ascii="Times New Roman" w:hAnsi="Times New Roman"/>
          <w:b w:val="0"/>
          <w:i w:val="0"/>
          <w:color w:val="000000"/>
          <w:sz w:val="22"/>
        </w:rPr>
        <w:t>• E_out (External gathering): Broad scanning, channel-changing, gathering novelty. Measurable as cross-reference diversity, collaborator count, comment volume.</w:t>
      </w:r>
    </w:p>
    <w:p>
      <w:pPr>
        <w:spacing w:before="0" w:after="40" w:line="260" w:lineRule="exact"/>
        <w:ind w:left="720" w:hanging="360"/>
      </w:pPr>
      <w:r>
        <w:rPr>
          <w:rFonts w:ascii="Times New Roman" w:hAnsi="Times New Roman"/>
          <w:b w:val="0"/>
          <w:i w:val="0"/>
          <w:color w:val="000000"/>
          <w:sz w:val="22"/>
        </w:rPr>
        <w:t>• E_in (Internal narrowing): Concluding, eliminating options, reducing candidates. Measurable as text diff magnitude, outcome count reduction, coupling rate.</w:t>
      </w:r>
    </w:p>
    <w:p>
      <w:pPr>
        <w:spacing w:before="0" w:after="40" w:line="260" w:lineRule="exact"/>
        <w:ind w:left="720" w:hanging="360"/>
      </w:pPr>
      <w:r>
        <w:rPr>
          <w:rFonts w:ascii="Times New Roman" w:hAnsi="Times New Roman"/>
          <w:b w:val="0"/>
          <w:i w:val="0"/>
          <w:color w:val="000000"/>
          <w:sz w:val="22"/>
        </w:rPr>
        <w:t>• B_out (External commitment): Persistent global write, difficult to reverse. Measurable as publication, grant award, results posting, effective date.</w:t>
      </w:r>
    </w:p>
    <w:p>
      <w:pPr>
        <w:spacing w:before="200" w:after="80"/>
      </w:pPr>
      <w:r>
        <w:rPr>
          <w:rFonts w:ascii="Times New Roman" w:hAnsi="Times New Roman"/>
          <w:b/>
          <w:i w:val="0"/>
          <w:color w:val="2F5496"/>
          <w:sz w:val="24"/>
        </w:rPr>
        <w:t>2.3 Scope of the Claim</w:t>
      </w:r>
    </w:p>
    <w:p>
      <w:pPr>
        <w:spacing w:before="0" w:after="60" w:line="260" w:lineRule="exact"/>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before="320" w:after="120"/>
      </w:pPr>
      <w:r>
        <w:rPr>
          <w:rFonts w:ascii="Times New Roman" w:hAnsi="Times New Roman"/>
          <w:b/>
          <w:i w:val="0"/>
          <w:color w:val="2F5496"/>
          <w:sz w:val="28"/>
        </w:rPr>
        <w:t>3. What Has Been Validated</w:t>
      </w:r>
    </w:p>
    <w:p>
      <w:pPr>
        <w:spacing w:before="0" w:after="60" w:line="260" w:lineRule="exact"/>
      </w:pPr>
      <w:r>
        <w:rPr>
          <w:rFonts w:ascii="Times New Roman" w:hAnsi="Times New Roman"/>
          <w:b w:val="0"/>
          <w:i w:val="0"/>
          <w:color w:val="000000"/>
          <w:sz w:val="22"/>
        </w:rPr>
        <w:t>Table 1 summarizes the current validation status of TFP’s claims. Confidence levels reflect the strength and breadth of current evidence, not theoretical certainty.</w:t>
      </w:r>
    </w:p>
    <w:p>
      <w:pPr>
        <w:spacing w:before="0" w:after="60" w:line="260" w:lineRule="exact"/>
      </w:pPr>
      <w:r>
        <w:rPr>
          <w:rFonts w:ascii="Times New Roman" w:hAnsi="Times New Roman"/>
          <w:b w:val="0"/>
          <w:i w:val="0"/>
          <w:color w:val="000000"/>
          <w:sz w:val="22"/>
        </w:rPr>
        <w:t>Table 1. TFP Claim Validation Status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fill="4472C4"/>
          </w:tcPr>
          <w:p>
            <w:r/>
            <w:r>
              <w:rPr>
                <w:rFonts w:ascii="Times New Roman" w:hAnsi="Times New Roman"/>
                <w:b/>
                <w:i w:val="0"/>
                <w:color w:val="FFFFFF"/>
                <w:sz w:val="20"/>
              </w:rPr>
              <w:t>Claim</w:t>
            </w:r>
          </w:p>
        </w:tc>
        <w:tc>
          <w:tcPr>
            <w:tcW w:type="dxa" w:w="1728"/>
            <w:shd w:fill="4472C4"/>
          </w:tcPr>
          <w:p>
            <w:r/>
            <w:r>
              <w:rPr>
                <w:rFonts w:ascii="Times New Roman" w:hAnsi="Times New Roman"/>
                <w:b/>
                <w:i w:val="0"/>
                <w:color w:val="FFFFFF"/>
                <w:sz w:val="20"/>
              </w:rPr>
              <w:t>Paper</w:t>
            </w:r>
          </w:p>
        </w:tc>
        <w:tc>
          <w:tcPr>
            <w:tcW w:type="dxa" w:w="1728"/>
            <w:shd w:fill="4472C4"/>
          </w:tcPr>
          <w:p>
            <w:r/>
            <w:r>
              <w:rPr>
                <w:rFonts w:ascii="Times New Roman" w:hAnsi="Times New Roman"/>
                <w:b/>
                <w:i w:val="0"/>
                <w:color w:val="FFFFFF"/>
                <w:sz w:val="20"/>
              </w:rPr>
              <w:t>Status</w:t>
            </w:r>
          </w:p>
        </w:tc>
        <w:tc>
          <w:tcPr>
            <w:tcW w:type="dxa" w:w="1728"/>
            <w:shd w:fill="4472C4"/>
          </w:tcPr>
          <w:p>
            <w:r/>
            <w:r>
              <w:rPr>
                <w:rFonts w:ascii="Times New Roman" w:hAnsi="Times New Roman"/>
                <w:b/>
                <w:i w:val="0"/>
                <w:color w:val="FFFFFF"/>
                <w:sz w:val="20"/>
              </w:rPr>
              <w:t>Key Result</w:t>
            </w:r>
          </w:p>
        </w:tc>
        <w:tc>
          <w:tcPr>
            <w:tcW w:type="dxa" w:w="1728"/>
            <w:shd w:fill="4472C4"/>
          </w:tcPr>
          <w:p>
            <w:r/>
            <w:r>
              <w:rPr>
                <w:rFonts w:ascii="Times New Roman" w:hAnsi="Times New Roman"/>
                <w:b/>
                <w:i w:val="0"/>
                <w:color w:val="FFFFFF"/>
                <w:sz w:val="20"/>
              </w:rPr>
              <w:t>Confidence</w:t>
            </w:r>
          </w:p>
        </w:tc>
      </w:tr>
      <w:tr>
        <w:tc>
          <w:tcPr>
            <w:tcW w:type="dxa" w:w="1728"/>
          </w:tcPr>
          <w:p>
            <w:r/>
            <w:r>
              <w:rPr>
                <w:rFonts w:ascii="Times New Roman" w:hAnsi="Times New Roman"/>
                <w:b w:val="0"/>
                <w:i w:val="0"/>
                <w:color w:val="000000"/>
                <w:sz w:val="20"/>
              </w:rPr>
              <w:t>Q2–Q3 structural opposition</w:t>
            </w:r>
          </w:p>
        </w:tc>
        <w:tc>
          <w:tcPr>
            <w:tcW w:type="dxa" w:w="1728"/>
          </w:tcPr>
          <w:p>
            <w:r/>
            <w:r>
              <w:rPr>
                <w:rFonts w:ascii="Times New Roman" w:hAnsi="Times New Roman"/>
                <w:b w:val="0"/>
                <w:i w:val="0"/>
                <w:color w:val="000000"/>
                <w:sz w:val="20"/>
              </w:rPr>
              <w:t>Paper 4</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ρ = −0.75, 100% of individuals</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Unidirectional Q2→Q3 flow</w:t>
            </w:r>
          </w:p>
        </w:tc>
        <w:tc>
          <w:tcPr>
            <w:tcW w:type="dxa" w:w="1728"/>
          </w:tcPr>
          <w:p>
            <w:r/>
            <w:r>
              <w:rPr>
                <w:rFonts w:ascii="Times New Roman" w:hAnsi="Times New Roman"/>
                <w:b w:val="0"/>
                <w:i w:val="0"/>
                <w:color w:val="000000"/>
                <w:sz w:val="20"/>
              </w:rPr>
              <w:t>Paper 4</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AI = −0.92, cross-domain</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Viability-gated Q4B reseeding</w:t>
            </w:r>
          </w:p>
        </w:tc>
        <w:tc>
          <w:tcPr>
            <w:tcW w:type="dxa" w:w="1728"/>
          </w:tcPr>
          <w:p>
            <w:r/>
            <w:r>
              <w:rPr>
                <w:rFonts w:ascii="Times New Roman" w:hAnsi="Times New Roman"/>
                <w:b w:val="0"/>
                <w:i w:val="0"/>
                <w:color w:val="000000"/>
                <w:sz w:val="20"/>
              </w:rPr>
              <w:t>Paper 4</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p = 3.9e−83, 20/20 participants</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Q2–Q4 non-interchangeable functions</w:t>
            </w:r>
          </w:p>
        </w:tc>
        <w:tc>
          <w:tcPr>
            <w:tcW w:type="dxa" w:w="1728"/>
          </w:tcPr>
          <w:p>
            <w:r/>
            <w:r>
              <w:rPr>
                <w:rFonts w:ascii="Times New Roman" w:hAnsi="Times New Roman"/>
                <w:b w:val="0"/>
                <w:i w:val="0"/>
                <w:color w:val="000000"/>
                <w:sz w:val="20"/>
              </w:rPr>
              <w:t>Paper 5</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#1 of 6 permutations, 92% gap, 4 domains</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Wrong-mapping collapse</w:t>
            </w:r>
          </w:p>
        </w:tc>
        <w:tc>
          <w:tcPr>
            <w:tcW w:type="dxa" w:w="1728"/>
          </w:tcPr>
          <w:p>
            <w:r/>
            <w:r>
              <w:rPr>
                <w:rFonts w:ascii="Times New Roman" w:hAnsi="Times New Roman"/>
                <w:b w:val="0"/>
                <w:i w:val="0"/>
                <w:color w:val="000000"/>
                <w:sz w:val="20"/>
              </w:rPr>
              <w:t>Paper 5</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All 5 alternatives fail</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HMM independent convergence</w:t>
            </w:r>
          </w:p>
        </w:tc>
        <w:tc>
          <w:tcPr>
            <w:tcW w:type="dxa" w:w="1728"/>
          </w:tcPr>
          <w:p>
            <w:r/>
            <w:r>
              <w:rPr>
                <w:rFonts w:ascii="Times New Roman" w:hAnsi="Times New Roman"/>
                <w:b w:val="0"/>
                <w:i w:val="0"/>
                <w:color w:val="000000"/>
                <w:sz w:val="20"/>
              </w:rPr>
              <w:t>Paper 5</w:t>
            </w:r>
          </w:p>
        </w:tc>
        <w:tc>
          <w:tcPr>
            <w:tcW w:type="dxa" w:w="1728"/>
          </w:tcPr>
          <w:p>
            <w:r/>
            <w:r>
              <w:rPr>
                <w:rFonts w:ascii="Times New Roman" w:hAnsi="Times New Roman"/>
                <w:b w:val="0"/>
                <w:i w:val="0"/>
                <w:color w:val="000000"/>
                <w:sz w:val="20"/>
              </w:rPr>
              <w:t>Validated</w:t>
            </w:r>
          </w:p>
        </w:tc>
        <w:tc>
          <w:tcPr>
            <w:tcW w:type="dxa" w:w="1728"/>
          </w:tcPr>
          <w:p>
            <w:r/>
            <w:r>
              <w:rPr>
                <w:rFonts w:ascii="Times New Roman" w:hAnsi="Times New Roman"/>
                <w:b w:val="0"/>
                <w:i w:val="0"/>
                <w:color w:val="000000"/>
                <w:sz w:val="20"/>
              </w:rPr>
              <w:t>Same binding recovered unsupervised</w:t>
            </w:r>
          </w:p>
        </w:tc>
        <w:tc>
          <w:tcPr>
            <w:tcW w:type="dxa" w:w="1728"/>
          </w:tcPr>
          <w:p>
            <w:r/>
            <w:r>
              <w:rPr>
                <w:rFonts w:ascii="Times New Roman" w:hAnsi="Times New Roman"/>
                <w:b w:val="0"/>
                <w:i w:val="0"/>
                <w:color w:val="000000"/>
                <w:sz w:val="20"/>
              </w:rPr>
              <w:t>High</w:t>
            </w:r>
          </w:p>
        </w:tc>
      </w:tr>
      <w:tr>
        <w:tc>
          <w:tcPr>
            <w:tcW w:type="dxa" w:w="1728"/>
          </w:tcPr>
          <w:p>
            <w:r/>
            <w:r>
              <w:rPr>
                <w:rFonts w:ascii="Times New Roman" w:hAnsi="Times New Roman"/>
                <w:b w:val="0"/>
                <w:i w:val="0"/>
                <w:color w:val="000000"/>
                <w:sz w:val="20"/>
              </w:rPr>
              <w:t>Dual-memory dissociation</w:t>
            </w:r>
          </w:p>
        </w:tc>
        <w:tc>
          <w:tcPr>
            <w:tcW w:type="dxa" w:w="1728"/>
          </w:tcPr>
          <w:p>
            <w:r/>
            <w:r>
              <w:rPr>
                <w:rFonts w:ascii="Times New Roman" w:hAnsi="Times New Roman"/>
                <w:b w:val="0"/>
                <w:i w:val="0"/>
                <w:color w:val="000000"/>
                <w:sz w:val="20"/>
              </w:rPr>
              <w:t>Paper A</w:t>
            </w:r>
          </w:p>
        </w:tc>
        <w:tc>
          <w:tcPr>
            <w:tcW w:type="dxa" w:w="1728"/>
          </w:tcPr>
          <w:p>
            <w:r/>
            <w:r>
              <w:rPr>
                <w:rFonts w:ascii="Times New Roman" w:hAnsi="Times New Roman"/>
                <w:b w:val="0"/>
                <w:i w:val="0"/>
                <w:color w:val="000000"/>
                <w:sz w:val="20"/>
              </w:rPr>
              <w:t>Validated (sim.)</w:t>
            </w:r>
          </w:p>
        </w:tc>
        <w:tc>
          <w:tcPr>
            <w:tcW w:type="dxa" w:w="1728"/>
          </w:tcPr>
          <w:p>
            <w:r/>
            <w:r>
              <w:rPr>
                <w:rFonts w:ascii="Times New Roman" w:hAnsi="Times New Roman"/>
                <w:b w:val="0"/>
                <w:i w:val="0"/>
                <w:color w:val="000000"/>
                <w:sz w:val="20"/>
              </w:rPr>
              <w:t>Existence proof in simulation</w:t>
            </w:r>
          </w:p>
        </w:tc>
        <w:tc>
          <w:tcPr>
            <w:tcW w:type="dxa" w:w="1728"/>
          </w:tcPr>
          <w:p>
            <w:r/>
            <w:r>
              <w:rPr>
                <w:rFonts w:ascii="Times New Roman" w:hAnsi="Times New Roman"/>
                <w:b w:val="0"/>
                <w:i w:val="0"/>
                <w:color w:val="000000"/>
                <w:sz w:val="20"/>
              </w:rPr>
              <w:t>Medium</w:t>
            </w:r>
          </w:p>
        </w:tc>
      </w:tr>
      <w:tr>
        <w:tc>
          <w:tcPr>
            <w:tcW w:type="dxa" w:w="1728"/>
          </w:tcPr>
          <w:p>
            <w:r/>
            <w:r>
              <w:rPr>
                <w:rFonts w:ascii="Times New Roman" w:hAnsi="Times New Roman"/>
                <w:b w:val="0"/>
                <w:i w:val="0"/>
                <w:color w:val="000000"/>
                <w:sz w:val="20"/>
              </w:rPr>
              <w:t>Cross-dataset dissociation</w:t>
            </w:r>
          </w:p>
        </w:tc>
        <w:tc>
          <w:tcPr>
            <w:tcW w:type="dxa" w:w="1728"/>
          </w:tcPr>
          <w:p>
            <w:r/>
            <w:r>
              <w:rPr>
                <w:rFonts w:ascii="Times New Roman" w:hAnsi="Times New Roman"/>
                <w:b w:val="0"/>
                <w:i w:val="0"/>
                <w:color w:val="000000"/>
                <w:sz w:val="20"/>
              </w:rPr>
              <w:t>Paper B</w:t>
            </w:r>
          </w:p>
        </w:tc>
        <w:tc>
          <w:tcPr>
            <w:tcW w:type="dxa" w:w="1728"/>
          </w:tcPr>
          <w:p>
            <w:r/>
            <w:r>
              <w:rPr>
                <w:rFonts w:ascii="Times New Roman" w:hAnsi="Times New Roman"/>
                <w:b w:val="0"/>
                <w:i w:val="0"/>
                <w:color w:val="000000"/>
                <w:sz w:val="20"/>
              </w:rPr>
              <w:t>Validated (emp.)</w:t>
            </w:r>
          </w:p>
        </w:tc>
        <w:tc>
          <w:tcPr>
            <w:tcW w:type="dxa" w:w="1728"/>
          </w:tcPr>
          <w:p>
            <w:r/>
            <w:r>
              <w:rPr>
                <w:rFonts w:ascii="Times New Roman" w:hAnsi="Times New Roman"/>
                <w:b w:val="0"/>
                <w:i w:val="0"/>
                <w:color w:val="000000"/>
                <w:sz w:val="20"/>
              </w:rPr>
              <w:t>Battery degradation data</w:t>
            </w:r>
          </w:p>
        </w:tc>
        <w:tc>
          <w:tcPr>
            <w:tcW w:type="dxa" w:w="1728"/>
          </w:tcPr>
          <w:p>
            <w:r/>
            <w:r>
              <w:rPr>
                <w:rFonts w:ascii="Times New Roman" w:hAnsi="Times New Roman"/>
                <w:b w:val="0"/>
                <w:i w:val="0"/>
                <w:color w:val="000000"/>
                <w:sz w:val="20"/>
              </w:rPr>
              <w:t>Medium</w:t>
            </w:r>
          </w:p>
        </w:tc>
      </w:tr>
      <w:tr>
        <w:tc>
          <w:tcPr>
            <w:tcW w:type="dxa" w:w="1728"/>
          </w:tcPr>
          <w:p>
            <w:r/>
            <w:r>
              <w:rPr>
                <w:rFonts w:ascii="Times New Roman" w:hAnsi="Times New Roman"/>
                <w:b w:val="0"/>
                <w:i w:val="0"/>
                <w:color w:val="000000"/>
                <w:sz w:val="20"/>
              </w:rPr>
              <w:t>Depletion-gated reorientation</w:t>
            </w:r>
          </w:p>
        </w:tc>
        <w:tc>
          <w:tcPr>
            <w:tcW w:type="dxa" w:w="1728"/>
          </w:tcPr>
          <w:p>
            <w:r/>
            <w:r>
              <w:rPr>
                <w:rFonts w:ascii="Times New Roman" w:hAnsi="Times New Roman"/>
                <w:b w:val="0"/>
                <w:i w:val="0"/>
                <w:color w:val="000000"/>
                <w:sz w:val="20"/>
              </w:rPr>
              <w:t>Paper C</w:t>
            </w:r>
          </w:p>
        </w:tc>
        <w:tc>
          <w:tcPr>
            <w:tcW w:type="dxa" w:w="1728"/>
          </w:tcPr>
          <w:p>
            <w:r/>
            <w:r>
              <w:rPr>
                <w:rFonts w:ascii="Times New Roman" w:hAnsi="Times New Roman"/>
                <w:b w:val="0"/>
                <w:i w:val="0"/>
                <w:color w:val="000000"/>
                <w:sz w:val="20"/>
              </w:rPr>
              <w:t>Validated (scoped)</w:t>
            </w:r>
          </w:p>
        </w:tc>
        <w:tc>
          <w:tcPr>
            <w:tcW w:type="dxa" w:w="1728"/>
          </w:tcPr>
          <w:p>
            <w:r/>
            <w:r>
              <w:rPr>
                <w:rFonts w:ascii="Times New Roman" w:hAnsi="Times New Roman"/>
                <w:b w:val="0"/>
                <w:i w:val="0"/>
                <w:color w:val="000000"/>
                <w:sz w:val="20"/>
              </w:rPr>
              <w:t>Foraging mechanism</w:t>
            </w:r>
          </w:p>
        </w:tc>
        <w:tc>
          <w:tcPr>
            <w:tcW w:type="dxa" w:w="1728"/>
          </w:tcPr>
          <w:p>
            <w:r/>
            <w:r>
              <w:rPr>
                <w:rFonts w:ascii="Times New Roman" w:hAnsi="Times New Roman"/>
                <w:b w:val="0"/>
                <w:i w:val="0"/>
                <w:color w:val="000000"/>
                <w:sz w:val="20"/>
              </w:rPr>
              <w:t>Medium</w:t>
            </w:r>
          </w:p>
        </w:tc>
      </w:tr>
      <w:tr>
        <w:tc>
          <w:tcPr>
            <w:tcW w:type="dxa" w:w="1728"/>
          </w:tcPr>
          <w:p>
            <w:r/>
            <w:r>
              <w:rPr>
                <w:rFonts w:ascii="Times New Roman" w:hAnsi="Times New Roman"/>
                <w:b w:val="0"/>
                <w:i w:val="0"/>
                <w:color w:val="000000"/>
                <w:sz w:val="20"/>
              </w:rPr>
              <w:t>Q1 internal orientation</w:t>
            </w:r>
          </w:p>
        </w:tc>
        <w:tc>
          <w:tcPr>
            <w:tcW w:type="dxa" w:w="1728"/>
          </w:tcPr>
          <w:p>
            <w:r/>
            <w:r>
              <w:rPr>
                <w:rFonts w:ascii="Times New Roman" w:hAnsi="Times New Roman"/>
                <w:b w:val="0"/>
                <w:i w:val="0"/>
                <w:color w:val="000000"/>
                <w:sz w:val="20"/>
              </w:rPr>
              <w:t>—</w:t>
            </w:r>
          </w:p>
        </w:tc>
        <w:tc>
          <w:tcPr>
            <w:tcW w:type="dxa" w:w="1728"/>
          </w:tcPr>
          <w:p>
            <w:r/>
            <w:r>
              <w:rPr>
                <w:rFonts w:ascii="Times New Roman" w:hAnsi="Times New Roman"/>
                <w:b w:val="0"/>
                <w:i w:val="0"/>
                <w:color w:val="000000"/>
                <w:sz w:val="20"/>
              </w:rPr>
              <w:t>Not yet validated</w:t>
            </w:r>
          </w:p>
        </w:tc>
        <w:tc>
          <w:tcPr>
            <w:tcW w:type="dxa" w:w="1728"/>
          </w:tcPr>
          <w:p>
            <w:r/>
            <w:r>
              <w:rPr>
                <w:rFonts w:ascii="Times New Roman" w:hAnsi="Times New Roman"/>
                <w:b w:val="0"/>
                <w:i w:val="0"/>
                <w:color w:val="000000"/>
                <w:sz w:val="20"/>
              </w:rPr>
              <w:t>Requires process-tracing</w:t>
            </w:r>
          </w:p>
        </w:tc>
        <w:tc>
          <w:tcPr>
            <w:tcW w:type="dxa" w:w="1728"/>
          </w:tcPr>
          <w:p>
            <w:r/>
            <w:r>
              <w:rPr>
                <w:rFonts w:ascii="Times New Roman" w:hAnsi="Times New Roman"/>
                <w:b w:val="0"/>
                <w:i w:val="0"/>
                <w:color w:val="000000"/>
                <w:sz w:val="20"/>
              </w:rPr>
              <w:t>Low</w:t>
            </w:r>
          </w:p>
        </w:tc>
      </w:tr>
      <w:tr>
        <w:tc>
          <w:tcPr>
            <w:tcW w:type="dxa" w:w="1728"/>
          </w:tcPr>
          <w:p>
            <w:r/>
            <w:r>
              <w:rPr>
                <w:rFonts w:ascii="Times New Roman" w:hAnsi="Times New Roman"/>
                <w:b w:val="0"/>
                <w:i w:val="0"/>
                <w:color w:val="000000"/>
                <w:sz w:val="20"/>
              </w:rPr>
              <w:t>Q4A deployment continuation</w:t>
            </w:r>
          </w:p>
        </w:tc>
        <w:tc>
          <w:tcPr>
            <w:tcW w:type="dxa" w:w="1728"/>
          </w:tcPr>
          <w:p>
            <w:r/>
            <w:r>
              <w:rPr>
                <w:rFonts w:ascii="Times New Roman" w:hAnsi="Times New Roman"/>
                <w:b w:val="0"/>
                <w:i w:val="0"/>
                <w:color w:val="000000"/>
                <w:sz w:val="20"/>
              </w:rPr>
              <w:t>—</w:t>
            </w:r>
          </w:p>
        </w:tc>
        <w:tc>
          <w:tcPr>
            <w:tcW w:type="dxa" w:w="1728"/>
          </w:tcPr>
          <w:p>
            <w:r/>
            <w:r>
              <w:rPr>
                <w:rFonts w:ascii="Times New Roman" w:hAnsi="Times New Roman"/>
                <w:b w:val="0"/>
                <w:i w:val="0"/>
                <w:color w:val="000000"/>
                <w:sz w:val="20"/>
              </w:rPr>
              <w:t>Not yet validated</w:t>
            </w:r>
          </w:p>
        </w:tc>
        <w:tc>
          <w:tcPr>
            <w:tcW w:type="dxa" w:w="1728"/>
          </w:tcPr>
          <w:p>
            <w:r/>
            <w:r>
              <w:rPr>
                <w:rFonts w:ascii="Times New Roman" w:hAnsi="Times New Roman"/>
                <w:b w:val="0"/>
                <w:i w:val="0"/>
                <w:color w:val="000000"/>
                <w:sz w:val="20"/>
              </w:rPr>
              <w:t>Requires multi-stage tracking</w:t>
            </w:r>
          </w:p>
        </w:tc>
        <w:tc>
          <w:tcPr>
            <w:tcW w:type="dxa" w:w="1728"/>
          </w:tcPr>
          <w:p>
            <w:r/>
            <w:r>
              <w:rPr>
                <w:rFonts w:ascii="Times New Roman" w:hAnsi="Times New Roman"/>
                <w:b w:val="0"/>
                <w:i w:val="0"/>
                <w:color w:val="000000"/>
                <w:sz w:val="20"/>
              </w:rPr>
              <w:t>Low</w:t>
            </w:r>
          </w:p>
        </w:tc>
      </w:tr>
      <w:tr>
        <w:tc>
          <w:tcPr>
            <w:tcW w:type="dxa" w:w="1728"/>
          </w:tcPr>
          <w:p>
            <w:r/>
            <w:r>
              <w:rPr>
                <w:rFonts w:ascii="Times New Roman" w:hAnsi="Times New Roman"/>
                <w:b w:val="0"/>
                <w:i w:val="0"/>
                <w:color w:val="000000"/>
                <w:sz w:val="20"/>
              </w:rPr>
              <w:t>EIL (interlocking loop)</w:t>
            </w:r>
          </w:p>
        </w:tc>
        <w:tc>
          <w:tcPr>
            <w:tcW w:type="dxa" w:w="1728"/>
          </w:tcPr>
          <w:p>
            <w:r/>
            <w:r>
              <w:rPr>
                <w:rFonts w:ascii="Times New Roman" w:hAnsi="Times New Roman"/>
                <w:b w:val="0"/>
                <w:i w:val="0"/>
                <w:color w:val="000000"/>
                <w:sz w:val="20"/>
              </w:rPr>
              <w:t>—</w:t>
            </w:r>
          </w:p>
        </w:tc>
        <w:tc>
          <w:tcPr>
            <w:tcW w:type="dxa" w:w="1728"/>
          </w:tcPr>
          <w:p>
            <w:r/>
            <w:r>
              <w:rPr>
                <w:rFonts w:ascii="Times New Roman" w:hAnsi="Times New Roman"/>
                <w:b w:val="0"/>
                <w:i w:val="0"/>
                <w:color w:val="000000"/>
                <w:sz w:val="20"/>
              </w:rPr>
              <w:t>Not yet validated</w:t>
            </w:r>
          </w:p>
        </w:tc>
        <w:tc>
          <w:tcPr>
            <w:tcW w:type="dxa" w:w="1728"/>
          </w:tcPr>
          <w:p>
            <w:r/>
            <w:r>
              <w:rPr>
                <w:rFonts w:ascii="Times New Roman" w:hAnsi="Times New Roman"/>
                <w:b w:val="0"/>
                <w:i w:val="0"/>
                <w:color w:val="000000"/>
                <w:sz w:val="20"/>
              </w:rPr>
              <w:t>Theoretical, hard to measure</w:t>
            </w:r>
          </w:p>
        </w:tc>
        <w:tc>
          <w:tcPr>
            <w:tcW w:type="dxa" w:w="1728"/>
          </w:tcPr>
          <w:p>
            <w:r/>
            <w:r>
              <w:rPr>
                <w:rFonts w:ascii="Times New Roman" w:hAnsi="Times New Roman"/>
                <w:b w:val="0"/>
                <w:i w:val="0"/>
                <w:color w:val="000000"/>
                <w:sz w:val="20"/>
              </w:rPr>
              <w:t>Low</w:t>
            </w:r>
          </w:p>
        </w:tc>
      </w:tr>
      <w:tr>
        <w:tc>
          <w:tcPr>
            <w:tcW w:type="dxa" w:w="1728"/>
          </w:tcPr>
          <w:p>
            <w:r/>
            <w:r>
              <w:rPr>
                <w:rFonts w:ascii="Times New Roman" w:hAnsi="Times New Roman"/>
                <w:b w:val="0"/>
                <w:i w:val="0"/>
                <w:color w:val="000000"/>
                <w:sz w:val="20"/>
              </w:rPr>
              <w:t>Full 4-operator validation</w:t>
            </w:r>
          </w:p>
        </w:tc>
        <w:tc>
          <w:tcPr>
            <w:tcW w:type="dxa" w:w="1728"/>
          </w:tcPr>
          <w:p>
            <w:r/>
            <w:r>
              <w:rPr>
                <w:rFonts w:ascii="Times New Roman" w:hAnsi="Times New Roman"/>
                <w:b w:val="0"/>
                <w:i w:val="0"/>
                <w:color w:val="000000"/>
                <w:sz w:val="20"/>
              </w:rPr>
              <w:t>—</w:t>
            </w:r>
          </w:p>
        </w:tc>
        <w:tc>
          <w:tcPr>
            <w:tcW w:type="dxa" w:w="1728"/>
          </w:tcPr>
          <w:p>
            <w:r/>
            <w:r>
              <w:rPr>
                <w:rFonts w:ascii="Times New Roman" w:hAnsi="Times New Roman"/>
                <w:b w:val="0"/>
                <w:i w:val="0"/>
                <w:color w:val="000000"/>
                <w:sz w:val="20"/>
              </w:rPr>
              <w:t>Partial (3/4)</w:t>
            </w:r>
          </w:p>
        </w:tc>
        <w:tc>
          <w:tcPr>
            <w:tcW w:type="dxa" w:w="1728"/>
          </w:tcPr>
          <w:p>
            <w:r/>
            <w:r>
              <w:rPr>
                <w:rFonts w:ascii="Times New Roman" w:hAnsi="Times New Roman"/>
                <w:b w:val="0"/>
                <w:i w:val="0"/>
                <w:color w:val="000000"/>
                <w:sz w:val="20"/>
              </w:rPr>
              <w:t>B_in not independently tested</w:t>
            </w:r>
          </w:p>
        </w:tc>
        <w:tc>
          <w:tcPr>
            <w:tcW w:type="dxa" w:w="1728"/>
          </w:tcPr>
          <w:p>
            <w:r/>
            <w:r>
              <w:rPr>
                <w:rFonts w:ascii="Times New Roman" w:hAnsi="Times New Roman"/>
                <w:b w:val="0"/>
                <w:i w:val="0"/>
                <w:color w:val="000000"/>
                <w:sz w:val="20"/>
              </w:rPr>
              <w:t>Medium–Low</w:t>
            </w:r>
          </w:p>
        </w:tc>
      </w:tr>
      <w:tr>
        <w:tc>
          <w:tcPr>
            <w:tcW w:type="dxa" w:w="1728"/>
          </w:tcPr>
          <w:p>
            <w:r/>
            <w:r>
              <w:rPr>
                <w:rFonts w:ascii="Times New Roman" w:hAnsi="Times New Roman"/>
                <w:b w:val="0"/>
                <w:i w:val="0"/>
                <w:color w:val="000000"/>
                <w:sz w:val="20"/>
              </w:rPr>
              <w:t>Non-institutional generalization</w:t>
            </w:r>
          </w:p>
        </w:tc>
        <w:tc>
          <w:tcPr>
            <w:tcW w:type="dxa" w:w="1728"/>
          </w:tcPr>
          <w:p>
            <w:r/>
            <w:r>
              <w:rPr>
                <w:rFonts w:ascii="Times New Roman" w:hAnsi="Times New Roman"/>
                <w:b w:val="0"/>
                <w:i w:val="0"/>
                <w:color w:val="000000"/>
                <w:sz w:val="20"/>
              </w:rPr>
              <w:t>—</w:t>
            </w:r>
          </w:p>
        </w:tc>
        <w:tc>
          <w:tcPr>
            <w:tcW w:type="dxa" w:w="1728"/>
          </w:tcPr>
          <w:p>
            <w:r/>
            <w:r>
              <w:rPr>
                <w:rFonts w:ascii="Times New Roman" w:hAnsi="Times New Roman"/>
                <w:b w:val="0"/>
                <w:i w:val="0"/>
                <w:color w:val="000000"/>
                <w:sz w:val="20"/>
              </w:rPr>
              <w:t>Not yet tested</w:t>
            </w:r>
          </w:p>
        </w:tc>
        <w:tc>
          <w:tcPr>
            <w:tcW w:type="dxa" w:w="1728"/>
          </w:tcPr>
          <w:p>
            <w:r/>
            <w:r>
              <w:rPr>
                <w:rFonts w:ascii="Times New Roman" w:hAnsi="Times New Roman"/>
                <w:b w:val="0"/>
                <w:i w:val="0"/>
                <w:color w:val="000000"/>
                <w:sz w:val="20"/>
              </w:rPr>
              <w:t>Biological/ecological future work</w:t>
            </w:r>
          </w:p>
        </w:tc>
        <w:tc>
          <w:tcPr>
            <w:tcW w:type="dxa" w:w="1728"/>
          </w:tcPr>
          <w:p>
            <w:r/>
            <w:r>
              <w:rPr>
                <w:rFonts w:ascii="Times New Roman" w:hAnsi="Times New Roman"/>
                <w:b w:val="0"/>
                <w:i w:val="0"/>
                <w:color w:val="000000"/>
                <w:sz w:val="20"/>
              </w:rPr>
              <w:t>Open</w:t>
            </w:r>
          </w:p>
        </w:tc>
      </w:tr>
    </w:tbl>
    <w:p/>
    <w:p>
      <w:pPr>
        <w:spacing w:before="320" w:after="120"/>
      </w:pPr>
      <w:r>
        <w:rPr>
          <w:rFonts w:ascii="Times New Roman" w:hAnsi="Times New Roman"/>
          <w:b/>
          <w:i w:val="0"/>
          <w:color w:val="2F5496"/>
          <w:sz w:val="28"/>
        </w:rPr>
        <w:t>4. The Canonical Invariant Hierarchy</w:t>
      </w:r>
    </w:p>
    <w:p>
      <w:pPr>
        <w:spacing w:before="0" w:after="60" w:line="260" w:lineRule="exact"/>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before="200" w:after="80"/>
      </w:pPr>
      <w:r>
        <w:rPr>
          <w:rFonts w:ascii="Times New Roman" w:hAnsi="Times New Roman"/>
          <w:b/>
          <w:i w:val="0"/>
          <w:color w:val="2F5496"/>
          <w:sz w:val="24"/>
        </w:rPr>
        <w:t>Level 1 (Strongest): Stage Non-Interchangeability and Transition Topology</w:t>
      </w:r>
    </w:p>
    <w:p>
      <w:pPr>
        <w:spacing w:before="0" w:after="60" w:line="260" w:lineRule="exact"/>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before="200" w:after="80"/>
      </w:pPr>
      <w:r>
        <w:rPr>
          <w:rFonts w:ascii="Times New Roman" w:hAnsi="Times New Roman"/>
          <w:b/>
          <w:i w:val="0"/>
          <w:color w:val="2F5496"/>
          <w:sz w:val="24"/>
        </w:rPr>
        <w:t>Level 2 (Strong): Viability-Gated Q4 Bifurcation and Reseeding Structure</w:t>
      </w:r>
    </w:p>
    <w:p>
      <w:pPr>
        <w:spacing w:before="0" w:after="60" w:line="260" w:lineRule="exact"/>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before="200" w:after="80"/>
      </w:pPr>
      <w:r>
        <w:rPr>
          <w:rFonts w:ascii="Times New Roman" w:hAnsi="Times New Roman"/>
          <w:b/>
          <w:i w:val="0"/>
          <w:color w:val="2F5496"/>
          <w:sz w:val="24"/>
        </w:rPr>
        <w:t>Level 3 (Supported): Stage-Specific Operator Binding</w:t>
      </w:r>
    </w:p>
    <w:p>
      <w:pPr>
        <w:spacing w:before="0" w:after="60" w:line="260" w:lineRule="exact"/>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before="200" w:after="80"/>
      </w:pPr>
      <w:r>
        <w:rPr>
          <w:rFonts w:ascii="Times New Roman" w:hAnsi="Times New Roman"/>
          <w:b/>
          <w:i w:val="0"/>
          <w:color w:val="2F5496"/>
          <w:sz w:val="24"/>
        </w:rPr>
        <w:t>Level 4 (Proposed): Full Grammar, EIL Dynamics, Cross-Scale Isomorphism</w:t>
      </w:r>
    </w:p>
    <w:p>
      <w:pPr>
        <w:spacing w:before="0" w:after="60" w:line="260" w:lineRule="exact"/>
      </w:pPr>
      <w:r>
        <w:rPr>
          <w:rFonts w:ascii="Times New Roman" w:hAnsi="Times New Roman"/>
          <w:b w:val="0"/>
          <w:i w:val="0"/>
          <w:color w:val="000000"/>
          <w:sz w:val="22"/>
        </w:rPr>
        <w:t>The complete four-operator grammar, the Emergent Interlocking Loop (EIL) dynamics, and the prediction that the same lifecycle structure appears at micro, meso, and macro scales. These are theoretical predictions with limited or no direct empirical support to date.</w:t>
      </w:r>
    </w:p>
    <w:p>
      <w:pPr>
        <w:spacing w:before="320" w:after="120"/>
      </w:pPr>
      <w:r>
        <w:rPr>
          <w:rFonts w:ascii="Times New Roman" w:hAnsi="Times New Roman"/>
          <w:b/>
          <w:i w:val="0"/>
          <w:color w:val="2F5496"/>
          <w:sz w:val="28"/>
        </w:rPr>
        <w:t>5. Operator Definitions (Locked)</w:t>
      </w:r>
    </w:p>
    <w:p>
      <w:pPr>
        <w:spacing w:before="0" w:after="60" w:line="260" w:lineRule="exact"/>
      </w:pPr>
      <w:r>
        <w:rPr>
          <w:rFonts w:ascii="Times New Roman" w:hAnsi="Times New Roman"/>
          <w:b w:val="0"/>
          <w:i w:val="0"/>
          <w:color w:val="000000"/>
          <w:sz w:val="22"/>
        </w:rPr>
        <w:t>Table 2 provides the locked operator definitions used across all TFP papers. These definitions are fixed for the current research program; any modification would require explicit justification and versioning.</w:t>
      </w:r>
    </w:p>
    <w:p>
      <w:pPr>
        <w:spacing w:before="0" w:after="60" w:line="260" w:lineRule="exact"/>
      </w:pPr>
      <w:r>
        <w:rPr>
          <w:rFonts w:ascii="Times New Roman" w:hAnsi="Times New Roman"/>
          <w:b w:val="0"/>
          <w:i w:val="0"/>
          <w:color w:val="000000"/>
          <w:sz w:val="22"/>
        </w:rPr>
        <w:t>Table 2. TFP Information Operators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fill="4472C4"/>
          </w:tcPr>
          <w:p>
            <w:r/>
            <w:r>
              <w:rPr>
                <w:rFonts w:ascii="Times New Roman" w:hAnsi="Times New Roman"/>
                <w:b/>
                <w:i w:val="0"/>
                <w:color w:val="FFFFFF"/>
                <w:sz w:val="20"/>
              </w:rPr>
              <w:t>Operator</w:t>
            </w:r>
          </w:p>
        </w:tc>
        <w:tc>
          <w:tcPr>
            <w:tcW w:type="dxa" w:w="1728"/>
            <w:shd w:fill="4472C4"/>
          </w:tcPr>
          <w:p>
            <w:r/>
            <w:r>
              <w:rPr>
                <w:rFonts w:ascii="Times New Roman" w:hAnsi="Times New Roman"/>
                <w:b/>
                <w:i w:val="0"/>
                <w:color w:val="FFFFFF"/>
                <w:sz w:val="20"/>
              </w:rPr>
              <w:t>Symbol</w:t>
            </w:r>
          </w:p>
        </w:tc>
        <w:tc>
          <w:tcPr>
            <w:tcW w:type="dxa" w:w="1728"/>
            <w:shd w:fill="4472C4"/>
          </w:tcPr>
          <w:p>
            <w:r/>
            <w:r>
              <w:rPr>
                <w:rFonts w:ascii="Times New Roman" w:hAnsi="Times New Roman"/>
                <w:b/>
                <w:i w:val="0"/>
                <w:color w:val="FFFFFF"/>
                <w:sz w:val="20"/>
              </w:rPr>
              <w:t>Definition</w:t>
            </w:r>
          </w:p>
        </w:tc>
        <w:tc>
          <w:tcPr>
            <w:tcW w:type="dxa" w:w="1728"/>
            <w:shd w:fill="4472C4"/>
          </w:tcPr>
          <w:p>
            <w:r/>
            <w:r>
              <w:rPr>
                <w:rFonts w:ascii="Times New Roman" w:hAnsi="Times New Roman"/>
                <w:b/>
                <w:i w:val="0"/>
                <w:color w:val="FFFFFF"/>
                <w:sz w:val="20"/>
              </w:rPr>
              <w:t>Measurable As</w:t>
            </w:r>
          </w:p>
        </w:tc>
        <w:tc>
          <w:tcPr>
            <w:tcW w:type="dxa" w:w="1728"/>
            <w:shd w:fill="4472C4"/>
          </w:tcPr>
          <w:p>
            <w:r/>
            <w:r>
              <w:rPr>
                <w:rFonts w:ascii="Times New Roman" w:hAnsi="Times New Roman"/>
                <w:b/>
                <w:i w:val="0"/>
                <w:color w:val="FFFFFF"/>
                <w:sz w:val="20"/>
              </w:rPr>
              <w:t>Domains Tested</w:t>
            </w:r>
          </w:p>
        </w:tc>
      </w:tr>
      <w:tr>
        <w:tc>
          <w:tcPr>
            <w:tcW w:type="dxa" w:w="1728"/>
          </w:tcPr>
          <w:p>
            <w:r/>
            <w:r>
              <w:rPr>
                <w:rFonts w:ascii="Times New Roman" w:hAnsi="Times New Roman"/>
                <w:b w:val="0"/>
                <w:i w:val="0"/>
                <w:color w:val="000000"/>
                <w:sz w:val="20"/>
              </w:rPr>
              <w:t>B_in</w:t>
            </w:r>
          </w:p>
        </w:tc>
        <w:tc>
          <w:tcPr>
            <w:tcW w:type="dxa" w:w="1728"/>
          </w:tcPr>
          <w:p>
            <w:r/>
            <w:r>
              <w:rPr>
                <w:rFonts w:ascii="Times New Roman" w:hAnsi="Times New Roman"/>
                <w:b w:val="0"/>
                <w:i w:val="0"/>
                <w:color w:val="000000"/>
                <w:sz w:val="20"/>
              </w:rPr>
              <w:t>Di</w:t>
            </w:r>
          </w:p>
        </w:tc>
        <w:tc>
          <w:tcPr>
            <w:tcW w:type="dxa" w:w="1728"/>
          </w:tcPr>
          <w:p>
            <w:r/>
            <w:r>
              <w:rPr>
                <w:rFonts w:ascii="Times New Roman" w:hAnsi="Times New Roman"/>
                <w:b w:val="0"/>
                <w:i w:val="0"/>
                <w:color w:val="000000"/>
                <w:sz w:val="20"/>
              </w:rPr>
              <w:t>Sticky internal reference resistant to change</w:t>
            </w:r>
          </w:p>
        </w:tc>
        <w:tc>
          <w:tcPr>
            <w:tcW w:type="dxa" w:w="1728"/>
          </w:tcPr>
          <w:p>
            <w:r/>
            <w:r>
              <w:rPr>
                <w:rFonts w:ascii="Times New Roman" w:hAnsi="Times New Roman"/>
                <w:b w:val="0"/>
                <w:i w:val="0"/>
                <w:color w:val="000000"/>
                <w:sz w:val="20"/>
              </w:rPr>
              <w:t>Revision rate decline, protocol stability, self-citation persistence</w:t>
            </w:r>
          </w:p>
        </w:tc>
        <w:tc>
          <w:tcPr>
            <w:tcW w:type="dxa" w:w="1728"/>
          </w:tcPr>
          <w:p>
            <w:r/>
            <w:r>
              <w:rPr>
                <w:rFonts w:ascii="Times New Roman" w:hAnsi="Times New Roman"/>
                <w:b w:val="0"/>
                <w:i w:val="0"/>
                <w:color w:val="000000"/>
                <w:sz w:val="20"/>
              </w:rPr>
              <w:t>Not independently tested</w:t>
            </w:r>
          </w:p>
        </w:tc>
      </w:tr>
      <w:tr>
        <w:tc>
          <w:tcPr>
            <w:tcW w:type="dxa" w:w="1728"/>
          </w:tcPr>
          <w:p>
            <w:r/>
            <w:r>
              <w:rPr>
                <w:rFonts w:ascii="Times New Roman" w:hAnsi="Times New Roman"/>
                <w:b w:val="0"/>
                <w:i w:val="0"/>
                <w:color w:val="000000"/>
                <w:sz w:val="20"/>
              </w:rPr>
              <w:t>E_out</w:t>
            </w:r>
          </w:p>
        </w:tc>
        <w:tc>
          <w:tcPr>
            <w:tcW w:type="dxa" w:w="1728"/>
          </w:tcPr>
          <w:p>
            <w:r/>
            <w:r>
              <w:rPr>
                <w:rFonts w:ascii="Times New Roman" w:hAnsi="Times New Roman"/>
                <w:b w:val="0"/>
                <w:i w:val="0"/>
                <w:color w:val="000000"/>
                <w:sz w:val="20"/>
              </w:rPr>
              <w:t>Oe</w:t>
            </w:r>
          </w:p>
        </w:tc>
        <w:tc>
          <w:tcPr>
            <w:tcW w:type="dxa" w:w="1728"/>
          </w:tcPr>
          <w:p>
            <w:r/>
            <w:r>
              <w:rPr>
                <w:rFonts w:ascii="Times New Roman" w:hAnsi="Times New Roman"/>
                <w:b w:val="0"/>
                <w:i w:val="0"/>
                <w:color w:val="000000"/>
                <w:sz w:val="20"/>
              </w:rPr>
              <w:t>Broad scanning, channel-changing, gathering novelty</w:t>
            </w:r>
          </w:p>
        </w:tc>
        <w:tc>
          <w:tcPr>
            <w:tcW w:type="dxa" w:w="1728"/>
          </w:tcPr>
          <w:p>
            <w:r/>
            <w:r>
              <w:rPr>
                <w:rFonts w:ascii="Times New Roman" w:hAnsi="Times New Roman"/>
                <w:b w:val="0"/>
                <w:i w:val="0"/>
                <w:color w:val="000000"/>
                <w:sz w:val="20"/>
              </w:rPr>
              <w:t>Cross-references, collaborator count, comment volume</w:t>
            </w:r>
          </w:p>
        </w:tc>
        <w:tc>
          <w:tcPr>
            <w:tcW w:type="dxa" w:w="1728"/>
          </w:tcPr>
          <w:p>
            <w:r/>
            <w:r>
              <w:rPr>
                <w:rFonts w:ascii="Times New Roman" w:hAnsi="Times New Roman"/>
                <w:b w:val="0"/>
                <w:i w:val="0"/>
                <w:color w:val="000000"/>
                <w:sz w:val="20"/>
              </w:rPr>
              <w:t>IETF, Patents, CT.gov, FR-EPA</w:t>
            </w:r>
          </w:p>
        </w:tc>
      </w:tr>
      <w:tr>
        <w:tc>
          <w:tcPr>
            <w:tcW w:type="dxa" w:w="1728"/>
          </w:tcPr>
          <w:p>
            <w:r/>
            <w:r>
              <w:rPr>
                <w:rFonts w:ascii="Times New Roman" w:hAnsi="Times New Roman"/>
                <w:b w:val="0"/>
                <w:i w:val="0"/>
                <w:color w:val="000000"/>
                <w:sz w:val="20"/>
              </w:rPr>
              <w:t>E_in</w:t>
            </w:r>
          </w:p>
        </w:tc>
        <w:tc>
          <w:tcPr>
            <w:tcW w:type="dxa" w:w="1728"/>
          </w:tcPr>
          <w:p>
            <w:r/>
            <w:r>
              <w:rPr>
                <w:rFonts w:ascii="Times New Roman" w:hAnsi="Times New Roman"/>
                <w:b w:val="0"/>
                <w:i w:val="0"/>
                <w:color w:val="000000"/>
                <w:sz w:val="20"/>
              </w:rPr>
              <w:t>Oi</w:t>
            </w:r>
          </w:p>
        </w:tc>
        <w:tc>
          <w:tcPr>
            <w:tcW w:type="dxa" w:w="1728"/>
          </w:tcPr>
          <w:p>
            <w:r/>
            <w:r>
              <w:rPr>
                <w:rFonts w:ascii="Times New Roman" w:hAnsi="Times New Roman"/>
                <w:b w:val="0"/>
                <w:i w:val="0"/>
                <w:color w:val="000000"/>
                <w:sz w:val="20"/>
              </w:rPr>
              <w:t>Concluding, eliminating options, reducing candidates</w:t>
            </w:r>
          </w:p>
        </w:tc>
        <w:tc>
          <w:tcPr>
            <w:tcW w:type="dxa" w:w="1728"/>
          </w:tcPr>
          <w:p>
            <w:r/>
            <w:r>
              <w:rPr>
                <w:rFonts w:ascii="Times New Roman" w:hAnsi="Times New Roman"/>
                <w:b w:val="0"/>
                <w:i w:val="0"/>
                <w:color w:val="000000"/>
                <w:sz w:val="20"/>
              </w:rPr>
              <w:t>Text diff magnitude, outcome count, coupling rate</w:t>
            </w:r>
          </w:p>
        </w:tc>
        <w:tc>
          <w:tcPr>
            <w:tcW w:type="dxa" w:w="1728"/>
          </w:tcPr>
          <w:p>
            <w:r/>
            <w:r>
              <w:rPr>
                <w:rFonts w:ascii="Times New Roman" w:hAnsi="Times New Roman"/>
                <w:b w:val="0"/>
                <w:i w:val="0"/>
                <w:color w:val="000000"/>
                <w:sz w:val="20"/>
              </w:rPr>
              <w:t>IETF, FR-EPA, CT.gov, Patents</w:t>
            </w:r>
          </w:p>
        </w:tc>
      </w:tr>
      <w:tr>
        <w:tc>
          <w:tcPr>
            <w:tcW w:type="dxa" w:w="1728"/>
          </w:tcPr>
          <w:p>
            <w:r/>
            <w:r>
              <w:rPr>
                <w:rFonts w:ascii="Times New Roman" w:hAnsi="Times New Roman"/>
                <w:b w:val="0"/>
                <w:i w:val="0"/>
                <w:color w:val="000000"/>
                <w:sz w:val="20"/>
              </w:rPr>
              <w:t>B_out</w:t>
            </w:r>
          </w:p>
        </w:tc>
        <w:tc>
          <w:tcPr>
            <w:tcW w:type="dxa" w:w="1728"/>
          </w:tcPr>
          <w:p>
            <w:r/>
            <w:r>
              <w:rPr>
                <w:rFonts w:ascii="Times New Roman" w:hAnsi="Times New Roman"/>
                <w:b w:val="0"/>
                <w:i w:val="0"/>
                <w:color w:val="000000"/>
                <w:sz w:val="20"/>
              </w:rPr>
              <w:t>De</w:t>
            </w:r>
          </w:p>
        </w:tc>
        <w:tc>
          <w:tcPr>
            <w:tcW w:type="dxa" w:w="1728"/>
          </w:tcPr>
          <w:p>
            <w:r/>
            <w:r>
              <w:rPr>
                <w:rFonts w:ascii="Times New Roman" w:hAnsi="Times New Roman"/>
                <w:b w:val="0"/>
                <w:i w:val="0"/>
                <w:color w:val="000000"/>
                <w:sz w:val="20"/>
              </w:rPr>
              <w:t>Persistent global write, difficult to reverse</w:t>
            </w:r>
          </w:p>
        </w:tc>
        <w:tc>
          <w:tcPr>
            <w:tcW w:type="dxa" w:w="1728"/>
          </w:tcPr>
          <w:p>
            <w:r/>
            <w:r>
              <w:rPr>
                <w:rFonts w:ascii="Times New Roman" w:hAnsi="Times New Roman"/>
                <w:b w:val="0"/>
                <w:i w:val="0"/>
                <w:color w:val="000000"/>
                <w:sz w:val="20"/>
              </w:rPr>
              <w:t>Publication, grant, results posting, effective date</w:t>
            </w:r>
          </w:p>
        </w:tc>
        <w:tc>
          <w:tcPr>
            <w:tcW w:type="dxa" w:w="1728"/>
          </w:tcPr>
          <w:p>
            <w:r/>
            <w:r>
              <w:rPr>
                <w:rFonts w:ascii="Times New Roman" w:hAnsi="Times New Roman"/>
                <w:b w:val="0"/>
                <w:i w:val="0"/>
                <w:color w:val="000000"/>
                <w:sz w:val="20"/>
              </w:rPr>
              <w:t>All 4 domains</w:t>
            </w:r>
          </w:p>
        </w:tc>
      </w:tr>
    </w:tbl>
    <w:p/>
    <w:p>
      <w:pPr>
        <w:spacing w:before="320" w:after="120"/>
      </w:pPr>
      <w:r>
        <w:rPr>
          <w:rFonts w:ascii="Times New Roman" w:hAnsi="Times New Roman"/>
          <w:b/>
          <w:i w:val="0"/>
          <w:color w:val="2F5496"/>
          <w:sz w:val="28"/>
        </w:rPr>
        <w:t>6. How to Test TFP on a New Domain</w:t>
      </w:r>
    </w:p>
    <w:p>
      <w:pPr>
        <w:spacing w:before="0" w:after="60" w:line="260" w:lineRule="exact"/>
      </w:pPr>
      <w:r>
        <w:rPr>
          <w:rFonts w:ascii="Times New Roman" w:hAnsi="Times New Roman"/>
          <w:b w:val="0"/>
          <w:i w:val="0"/>
          <w:color w:val="000000"/>
          <w:sz w:val="22"/>
        </w:rPr>
        <w:t>This section provides step-by-step guidance for researchers who wish to test TFP’s predictions on a new lifecycle dataset.</w:t>
      </w:r>
    </w:p>
    <w:p>
      <w:pPr>
        <w:spacing w:before="200" w:after="80"/>
      </w:pPr>
      <w:r>
        <w:rPr>
          <w:rFonts w:ascii="Times New Roman" w:hAnsi="Times New Roman"/>
          <w:b/>
          <w:i w:val="0"/>
          <w:color w:val="2F5496"/>
          <w:sz w:val="24"/>
        </w:rPr>
        <w:t>6.1 Full Test Protocol</w:t>
      </w:r>
    </w:p>
    <w:p>
      <w:pPr>
        <w:spacing w:before="0" w:after="40" w:line="260" w:lineRule="exact"/>
        <w:ind w:left="720" w:hanging="3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w:t>
      </w:r>
    </w:p>
    <w:p>
      <w:pPr>
        <w:spacing w:before="0" w:after="40" w:line="260" w:lineRule="exact"/>
        <w:ind w:left="720" w:hanging="3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orientation and early exploration; Q2 = external gathering and selection; Q3 = internal narrowing and refinement; Q4 = external commitment and deployment.</w:t>
      </w:r>
    </w:p>
    <w:p>
      <w:pPr>
        <w:spacing w:before="0" w:after="40" w:line="260" w:lineRule="exact"/>
        <w:ind w:left="720" w:hanging="3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w:t>
      </w:r>
    </w:p>
    <w:p>
      <w:pPr>
        <w:spacing w:before="0" w:after="40" w:line="260" w:lineRule="exact"/>
        <w:ind w:left="720" w:hanging="3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w:t>
      </w:r>
    </w:p>
    <w:p>
      <w:pPr>
        <w:spacing w:before="0" w:after="40" w:line="260" w:lineRule="exact"/>
        <w:ind w:left="720" w:hanging="3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w:t>
      </w:r>
    </w:p>
    <w:p>
      <w:pPr>
        <w:spacing w:before="0" w:after="40" w:line="260" w:lineRule="exact"/>
        <w:ind w:left="720" w:hanging="360"/>
      </w:pPr>
      <w:r>
        <w:rPr>
          <w:rFonts w:ascii="Times New Roman" w:hAnsi="Times New Roman"/>
          <w:b w:val="0"/>
          <w:i w:val="0"/>
          <w:color w:val="000000"/>
          <w:sz w:val="22"/>
        </w:rPr>
        <w:t>6. Run holdout validation. Split data temporally or by subsample. TFP predicts that results will replicate on held-out data.</w:t>
      </w:r>
    </w:p>
    <w:p>
      <w:pPr>
        <w:spacing w:before="0" w:after="40" w:line="260" w:lineRule="exact"/>
        <w:ind w:left="720" w:hanging="360"/>
      </w:pPr>
      <w:r>
        <w:rPr>
          <w:rFonts w:ascii="Times New Roman" w:hAnsi="Times New Roman"/>
          <w:b w:val="0"/>
          <w:i w:val="0"/>
          <w:color w:val="000000"/>
          <w:sz w:val="22"/>
        </w:rPr>
        <w:t>7. Report honestly, including negative results. A domain where TFP’s predictions fail is as informative as one where they succeed. Negative results help map TFP’s boundary conditions.</w:t>
      </w:r>
    </w:p>
    <w:p>
      <w:pPr>
        <w:spacing w:before="200" w:after="80"/>
      </w:pPr>
      <w:r>
        <w:rPr>
          <w:rFonts w:ascii="Times New Roman" w:hAnsi="Times New Roman"/>
          <w:b/>
          <w:i w:val="0"/>
          <w:color w:val="2F5496"/>
          <w:sz w:val="24"/>
        </w:rPr>
        <w:t>6.2 Minimum Viable Test</w:t>
      </w:r>
    </w:p>
    <w:p>
      <w:pPr>
        <w:spacing w:before="0" w:after="60" w:line="260" w:lineRule="exact"/>
      </w:pPr>
      <w:r>
        <w:rPr>
          <w:rFonts w:ascii="Times New Roman" w:hAnsi="Times New Roman"/>
          <w:b w:val="0"/>
          <w:i w:val="0"/>
          <w:color w:val="000000"/>
          <w:sz w:val="22"/>
        </w:rPr>
        <w:t>For researchers who want the simplest possible TFP test before committing to the full protocol:</w:t>
      </w:r>
    </w:p>
    <w:p>
      <w:pPr>
        <w:spacing w:before="0" w:after="60" w:line="260" w:lineRule="exact"/>
      </w:pPr>
      <w:r>
        <w:rPr>
          <w:rFonts w:ascii="Times New Roman" w:hAnsi="Times New Roman"/>
          <w:b w:val="0"/>
          <w:i w:val="0"/>
          <w:color w:val="000000"/>
          <w:sz w:val="22"/>
        </w:rPr>
        <w:t>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before="320" w:after="120"/>
      </w:pPr>
      <w:r>
        <w:rPr>
          <w:rFonts w:ascii="Times New Roman" w:hAnsi="Times New Roman"/>
          <w:b/>
          <w:i w:val="0"/>
          <w:color w:val="2F5496"/>
          <w:sz w:val="28"/>
        </w:rPr>
        <w:t>7. Benchmark Tasks and Rival Models</w:t>
      </w:r>
    </w:p>
    <w:p>
      <w:pPr>
        <w:spacing w:before="0" w:after="60" w:line="260" w:lineRule="exact"/>
      </w:pPr>
      <w:r>
        <w:rPr>
          <w:rFonts w:ascii="Times New Roman" w:hAnsi="Times New Roman"/>
          <w:b w:val="0"/>
          <w:i w:val="0"/>
          <w:color w:val="000000"/>
          <w:sz w:val="22"/>
        </w:rPr>
        <w:t>Table 3 specifies the benchmark tasks that any TFP validation study should include, along with the rival models each test is designed to distinguish from TFP and the kill criteria that would constitute a failure.</w:t>
      </w:r>
    </w:p>
    <w:p>
      <w:pPr>
        <w:spacing w:before="0" w:after="60" w:line="260" w:lineRule="exact"/>
      </w:pPr>
      <w:r>
        <w:rPr>
          <w:rFonts w:ascii="Times New Roman" w:hAnsi="Times New Roman"/>
          <w:b w:val="0"/>
          <w:i w:val="0"/>
          <w:color w:val="000000"/>
          <w:sz w:val="22"/>
        </w:rPr>
        <w:t>Table 3. Benchmark Tasks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4472C4"/>
          </w:tcPr>
          <w:p>
            <w:r/>
            <w:r>
              <w:rPr>
                <w:rFonts w:ascii="Times New Roman" w:hAnsi="Times New Roman"/>
                <w:b/>
                <w:i w:val="0"/>
                <w:color w:val="FFFFFF"/>
                <w:sz w:val="20"/>
              </w:rPr>
              <w:t>Benchmark</w:t>
            </w:r>
          </w:p>
        </w:tc>
        <w:tc>
          <w:tcPr>
            <w:tcW w:type="dxa" w:w="2160"/>
            <w:shd w:fill="4472C4"/>
          </w:tcPr>
          <w:p>
            <w:r/>
            <w:r>
              <w:rPr>
                <w:rFonts w:ascii="Times New Roman" w:hAnsi="Times New Roman"/>
                <w:b/>
                <w:i w:val="0"/>
                <w:color w:val="FFFFFF"/>
                <w:sz w:val="20"/>
              </w:rPr>
              <w:t>What It Tests</w:t>
            </w:r>
          </w:p>
        </w:tc>
        <w:tc>
          <w:tcPr>
            <w:tcW w:type="dxa" w:w="2160"/>
            <w:shd w:fill="4472C4"/>
          </w:tcPr>
          <w:p>
            <w:r/>
            <w:r>
              <w:rPr>
                <w:rFonts w:ascii="Times New Roman" w:hAnsi="Times New Roman"/>
                <w:b/>
                <w:i w:val="0"/>
                <w:color w:val="FFFFFF"/>
                <w:sz w:val="20"/>
              </w:rPr>
              <w:t>Rival Models</w:t>
            </w:r>
          </w:p>
        </w:tc>
        <w:tc>
          <w:tcPr>
            <w:tcW w:type="dxa" w:w="2160"/>
            <w:shd w:fill="4472C4"/>
          </w:tcPr>
          <w:p>
            <w:r/>
            <w:r>
              <w:rPr>
                <w:rFonts w:ascii="Times New Roman" w:hAnsi="Times New Roman"/>
                <w:b/>
                <w:i w:val="0"/>
                <w:color w:val="FFFFFF"/>
                <w:sz w:val="20"/>
              </w:rPr>
              <w:t>Kill Criteria</w:t>
            </w:r>
          </w:p>
        </w:tc>
      </w:tr>
      <w:tr>
        <w:tc>
          <w:tcPr>
            <w:tcW w:type="dxa" w:w="2160"/>
          </w:tcPr>
          <w:p>
            <w:r/>
            <w:r>
              <w:rPr>
                <w:rFonts w:ascii="Times New Roman" w:hAnsi="Times New Roman"/>
                <w:b w:val="0"/>
                <w:i w:val="0"/>
                <w:color w:val="000000"/>
                <w:sz w:val="20"/>
              </w:rPr>
              <w:t>Permutation mapping search</w:t>
            </w:r>
          </w:p>
        </w:tc>
        <w:tc>
          <w:tcPr>
            <w:tcW w:type="dxa" w:w="2160"/>
          </w:tcPr>
          <w:p>
            <w:r/>
            <w:r>
              <w:rPr>
                <w:rFonts w:ascii="Times New Roman" w:hAnsi="Times New Roman"/>
                <w:b w:val="0"/>
                <w:i w:val="0"/>
                <w:color w:val="000000"/>
                <w:sz w:val="20"/>
              </w:rPr>
              <w:t>Non-interchangeability</w:t>
            </w:r>
          </w:p>
        </w:tc>
        <w:tc>
          <w:tcPr>
            <w:tcW w:type="dxa" w:w="2160"/>
          </w:tcPr>
          <w:p>
            <w:r/>
            <w:r>
              <w:rPr>
                <w:rFonts w:ascii="Times New Roman" w:hAnsi="Times New Roman"/>
                <w:b w:val="0"/>
                <w:i w:val="0"/>
                <w:color w:val="000000"/>
                <w:sz w:val="20"/>
              </w:rPr>
              <w:t>All 3!/4! alternative assignments</w:t>
            </w:r>
          </w:p>
        </w:tc>
        <w:tc>
          <w:tcPr>
            <w:tcW w:type="dxa" w:w="2160"/>
          </w:tcPr>
          <w:p>
            <w:r/>
            <w:r>
              <w:rPr>
                <w:rFonts w:ascii="Times New Roman" w:hAnsi="Times New Roman"/>
                <w:b w:val="0"/>
                <w:i w:val="0"/>
                <w:color w:val="000000"/>
                <w:sz w:val="20"/>
              </w:rPr>
              <w:t>TFP assignment not ranked #1</w:t>
            </w:r>
          </w:p>
        </w:tc>
      </w:tr>
      <w:tr>
        <w:tc>
          <w:tcPr>
            <w:tcW w:type="dxa" w:w="2160"/>
          </w:tcPr>
          <w:p>
            <w:r/>
            <w:r>
              <w:rPr>
                <w:rFonts w:ascii="Times New Roman" w:hAnsi="Times New Roman"/>
                <w:b w:val="0"/>
                <w:i w:val="0"/>
                <w:color w:val="000000"/>
                <w:sz w:val="20"/>
              </w:rPr>
              <w:t>Wrong-stage permutation</w:t>
            </w:r>
          </w:p>
        </w:tc>
        <w:tc>
          <w:tcPr>
            <w:tcW w:type="dxa" w:w="2160"/>
          </w:tcPr>
          <w:p>
            <w:r/>
            <w:r>
              <w:rPr>
                <w:rFonts w:ascii="Times New Roman" w:hAnsi="Times New Roman"/>
                <w:b w:val="0"/>
                <w:i w:val="0"/>
                <w:color w:val="000000"/>
                <w:sz w:val="20"/>
              </w:rPr>
              <w:t>Stage specificity</w:t>
            </w:r>
          </w:p>
        </w:tc>
        <w:tc>
          <w:tcPr>
            <w:tcW w:type="dxa" w:w="2160"/>
          </w:tcPr>
          <w:p>
            <w:r/>
            <w:r>
              <w:rPr>
                <w:rFonts w:ascii="Times New Roman" w:hAnsi="Times New Roman"/>
                <w:b w:val="0"/>
                <w:i w:val="0"/>
                <w:color w:val="000000"/>
                <w:sz w:val="20"/>
              </w:rPr>
              <w:t>Shuffled stage labels</w:t>
            </w:r>
          </w:p>
        </w:tc>
        <w:tc>
          <w:tcPr>
            <w:tcW w:type="dxa" w:w="2160"/>
          </w:tcPr>
          <w:p>
            <w:r/>
            <w:r>
              <w:rPr>
                <w:rFonts w:ascii="Times New Roman" w:hAnsi="Times New Roman"/>
                <w:b w:val="0"/>
                <w:i w:val="0"/>
                <w:color w:val="000000"/>
                <w:sz w:val="20"/>
              </w:rPr>
              <w:t>Signal does not collapse under shuffling</w:t>
            </w:r>
          </w:p>
        </w:tc>
      </w:tr>
      <w:tr>
        <w:tc>
          <w:tcPr>
            <w:tcW w:type="dxa" w:w="2160"/>
          </w:tcPr>
          <w:p>
            <w:r/>
            <w:r>
              <w:rPr>
                <w:rFonts w:ascii="Times New Roman" w:hAnsi="Times New Roman"/>
                <w:b w:val="0"/>
                <w:i w:val="0"/>
                <w:color w:val="000000"/>
                <w:sz w:val="20"/>
              </w:rPr>
              <w:t>Wrong-operator assignment</w:t>
            </w:r>
          </w:p>
        </w:tc>
        <w:tc>
          <w:tcPr>
            <w:tcW w:type="dxa" w:w="2160"/>
          </w:tcPr>
          <w:p>
            <w:r/>
            <w:r>
              <w:rPr>
                <w:rFonts w:ascii="Times New Roman" w:hAnsi="Times New Roman"/>
                <w:b w:val="0"/>
                <w:i w:val="0"/>
                <w:color w:val="000000"/>
                <w:sz w:val="20"/>
              </w:rPr>
              <w:t>Operator specificity</w:t>
            </w:r>
          </w:p>
        </w:tc>
        <w:tc>
          <w:tcPr>
            <w:tcW w:type="dxa" w:w="2160"/>
          </w:tcPr>
          <w:p>
            <w:r/>
            <w:r>
              <w:rPr>
                <w:rFonts w:ascii="Times New Roman" w:hAnsi="Times New Roman"/>
                <w:b w:val="0"/>
                <w:i w:val="0"/>
                <w:color w:val="000000"/>
                <w:sz w:val="20"/>
              </w:rPr>
              <w:t>Swapped operator predictions</w:t>
            </w:r>
          </w:p>
        </w:tc>
        <w:tc>
          <w:tcPr>
            <w:tcW w:type="dxa" w:w="2160"/>
          </w:tcPr>
          <w:p>
            <w:r/>
            <w:r>
              <w:rPr>
                <w:rFonts w:ascii="Times New Roman" w:hAnsi="Times New Roman"/>
                <w:b w:val="0"/>
                <w:i w:val="0"/>
                <w:color w:val="000000"/>
                <w:sz w:val="20"/>
              </w:rPr>
              <w:t>Signal does not degrade with wrong operators</w:t>
            </w:r>
          </w:p>
        </w:tc>
      </w:tr>
      <w:tr>
        <w:tc>
          <w:tcPr>
            <w:tcW w:type="dxa" w:w="2160"/>
          </w:tcPr>
          <w:p>
            <w:r/>
            <w:r>
              <w:rPr>
                <w:rFonts w:ascii="Times New Roman" w:hAnsi="Times New Roman"/>
                <w:b w:val="0"/>
                <w:i w:val="0"/>
                <w:color w:val="000000"/>
                <w:sz w:val="20"/>
              </w:rPr>
              <w:t>HMM latent state recovery</w:t>
            </w:r>
          </w:p>
        </w:tc>
        <w:tc>
          <w:tcPr>
            <w:tcW w:type="dxa" w:w="2160"/>
          </w:tcPr>
          <w:p>
            <w:r/>
            <w:r>
              <w:rPr>
                <w:rFonts w:ascii="Times New Roman" w:hAnsi="Times New Roman"/>
                <w:b w:val="0"/>
                <w:i w:val="0"/>
                <w:color w:val="000000"/>
                <w:sz w:val="20"/>
              </w:rPr>
              <w:t>Independent discoverability</w:t>
            </w:r>
          </w:p>
        </w:tc>
        <w:tc>
          <w:tcPr>
            <w:tcW w:type="dxa" w:w="2160"/>
          </w:tcPr>
          <w:p>
            <w:r/>
            <w:r>
              <w:rPr>
                <w:rFonts w:ascii="Times New Roman" w:hAnsi="Times New Roman"/>
                <w:b w:val="0"/>
                <w:i w:val="0"/>
                <w:color w:val="000000"/>
                <w:sz w:val="20"/>
              </w:rPr>
              <w:t>Unsupervised k-state model</w:t>
            </w:r>
          </w:p>
        </w:tc>
        <w:tc>
          <w:tcPr>
            <w:tcW w:type="dxa" w:w="2160"/>
          </w:tcPr>
          <w:p>
            <w:r/>
            <w:r>
              <w:rPr>
                <w:rFonts w:ascii="Times New Roman" w:hAnsi="Times New Roman"/>
                <w:b w:val="0"/>
                <w:i w:val="0"/>
                <w:color w:val="000000"/>
                <w:sz w:val="20"/>
              </w:rPr>
              <w:t>HMM recovers fundamentally different structure</w:t>
            </w:r>
          </w:p>
        </w:tc>
      </w:tr>
      <w:tr>
        <w:tc>
          <w:tcPr>
            <w:tcW w:type="dxa" w:w="2160"/>
          </w:tcPr>
          <w:p>
            <w:r/>
            <w:r>
              <w:rPr>
                <w:rFonts w:ascii="Times New Roman" w:hAnsi="Times New Roman"/>
                <w:b w:val="0"/>
                <w:i w:val="0"/>
                <w:color w:val="000000"/>
                <w:sz w:val="20"/>
              </w:rPr>
              <w:t>Leave-one-domain-out</w:t>
            </w:r>
          </w:p>
        </w:tc>
        <w:tc>
          <w:tcPr>
            <w:tcW w:type="dxa" w:w="2160"/>
          </w:tcPr>
          <w:p>
            <w:r/>
            <w:r>
              <w:rPr>
                <w:rFonts w:ascii="Times New Roman" w:hAnsi="Times New Roman"/>
                <w:b w:val="0"/>
                <w:i w:val="0"/>
                <w:color w:val="000000"/>
                <w:sz w:val="20"/>
              </w:rPr>
              <w:t>Cross-domain robustness</w:t>
            </w:r>
          </w:p>
        </w:tc>
        <w:tc>
          <w:tcPr>
            <w:tcW w:type="dxa" w:w="2160"/>
          </w:tcPr>
          <w:p>
            <w:r/>
            <w:r>
              <w:rPr>
                <w:rFonts w:ascii="Times New Roman" w:hAnsi="Times New Roman"/>
                <w:b w:val="0"/>
                <w:i w:val="0"/>
                <w:color w:val="000000"/>
                <w:sz w:val="20"/>
              </w:rPr>
              <w:t>Single-domain dependency</w:t>
            </w:r>
          </w:p>
        </w:tc>
        <w:tc>
          <w:tcPr>
            <w:tcW w:type="dxa" w:w="2160"/>
          </w:tcPr>
          <w:p>
            <w:r/>
            <w:r>
              <w:rPr>
                <w:rFonts w:ascii="Times New Roman" w:hAnsi="Times New Roman"/>
                <w:b w:val="0"/>
                <w:i w:val="0"/>
                <w:color w:val="000000"/>
                <w:sz w:val="20"/>
              </w:rPr>
              <w:t>Removing any single domain eliminates the result</w:t>
            </w:r>
          </w:p>
        </w:tc>
      </w:tr>
      <w:tr>
        <w:tc>
          <w:tcPr>
            <w:tcW w:type="dxa" w:w="2160"/>
          </w:tcPr>
          <w:p>
            <w:r/>
            <w:r>
              <w:rPr>
                <w:rFonts w:ascii="Times New Roman" w:hAnsi="Times New Roman"/>
                <w:b w:val="0"/>
                <w:i w:val="0"/>
                <w:color w:val="000000"/>
                <w:sz w:val="20"/>
              </w:rPr>
              <w:t>Holdout temporal validation</w:t>
            </w:r>
          </w:p>
        </w:tc>
        <w:tc>
          <w:tcPr>
            <w:tcW w:type="dxa" w:w="2160"/>
          </w:tcPr>
          <w:p>
            <w:r/>
            <w:r>
              <w:rPr>
                <w:rFonts w:ascii="Times New Roman" w:hAnsi="Times New Roman"/>
                <w:b w:val="0"/>
                <w:i w:val="0"/>
                <w:color w:val="000000"/>
                <w:sz w:val="20"/>
              </w:rPr>
              <w:t>Temporal stability</w:t>
            </w:r>
          </w:p>
        </w:tc>
        <w:tc>
          <w:tcPr>
            <w:tcW w:type="dxa" w:w="2160"/>
          </w:tcPr>
          <w:p>
            <w:r/>
            <w:r>
              <w:rPr>
                <w:rFonts w:ascii="Times New Roman" w:hAnsi="Times New Roman"/>
                <w:b w:val="0"/>
                <w:i w:val="0"/>
                <w:color w:val="000000"/>
                <w:sz w:val="20"/>
              </w:rPr>
              <w:t>Train/test split</w:t>
            </w:r>
          </w:p>
        </w:tc>
        <w:tc>
          <w:tcPr>
            <w:tcW w:type="dxa" w:w="2160"/>
          </w:tcPr>
          <w:p>
            <w:r/>
            <w:r>
              <w:rPr>
                <w:rFonts w:ascii="Times New Roman" w:hAnsi="Times New Roman"/>
                <w:b w:val="0"/>
                <w:i w:val="0"/>
                <w:color w:val="000000"/>
                <w:sz w:val="20"/>
              </w:rPr>
              <w:t>Test set fails to replicate training result</w:t>
            </w:r>
          </w:p>
        </w:tc>
      </w:tr>
      <w:tr>
        <w:tc>
          <w:tcPr>
            <w:tcW w:type="dxa" w:w="2160"/>
          </w:tcPr>
          <w:p>
            <w:r/>
            <w:r>
              <w:rPr>
                <w:rFonts w:ascii="Times New Roman" w:hAnsi="Times New Roman"/>
                <w:b w:val="0"/>
                <w:i w:val="0"/>
                <w:color w:val="000000"/>
                <w:sz w:val="20"/>
              </w:rPr>
              <w:t>Confound stratification</w:t>
            </w:r>
          </w:p>
        </w:tc>
        <w:tc>
          <w:tcPr>
            <w:tcW w:type="dxa" w:w="2160"/>
          </w:tcPr>
          <w:p>
            <w:r/>
            <w:r>
              <w:rPr>
                <w:rFonts w:ascii="Times New Roman" w:hAnsi="Times New Roman"/>
                <w:b w:val="0"/>
                <w:i w:val="0"/>
                <w:color w:val="000000"/>
                <w:sz w:val="20"/>
              </w:rPr>
              <w:t>Ruling out confounds</w:t>
            </w:r>
          </w:p>
        </w:tc>
        <w:tc>
          <w:tcPr>
            <w:tcW w:type="dxa" w:w="2160"/>
          </w:tcPr>
          <w:p>
            <w:r/>
            <w:r>
              <w:rPr>
                <w:rFonts w:ascii="Times New Roman" w:hAnsi="Times New Roman"/>
                <w:b w:val="0"/>
                <w:i w:val="0"/>
                <w:color w:val="000000"/>
                <w:sz w:val="20"/>
              </w:rPr>
              <w:t>Size, phase, year controls</w:t>
            </w:r>
          </w:p>
        </w:tc>
        <w:tc>
          <w:tcPr>
            <w:tcW w:type="dxa" w:w="2160"/>
          </w:tcPr>
          <w:p>
            <w:r/>
            <w:r>
              <w:rPr>
                <w:rFonts w:ascii="Times New Roman" w:hAnsi="Times New Roman"/>
                <w:b w:val="0"/>
                <w:i w:val="0"/>
                <w:color w:val="000000"/>
                <w:sz w:val="20"/>
              </w:rPr>
              <w:t>Effect disappears after controlling for confounds</w:t>
            </w:r>
          </w:p>
        </w:tc>
      </w:tr>
    </w:tbl>
    <w:p/>
    <w:p>
      <w:pPr>
        <w:spacing w:before="320" w:after="120"/>
      </w:pPr>
      <w:r>
        <w:rPr>
          <w:rFonts w:ascii="Times New Roman" w:hAnsi="Times New Roman"/>
          <w:b/>
          <w:i w:val="0"/>
          <w:color w:val="2F5496"/>
          <w:sz w:val="28"/>
        </w:rPr>
        <w:t>8. Mechanism Roadmap (Inside-Out Bridge)</w:t>
      </w:r>
    </w:p>
    <w:p>
      <w:pPr>
        <w:spacing w:before="200" w:after="80"/>
      </w:pPr>
      <w:r>
        <w:rPr>
          <w:rFonts w:ascii="Times New Roman" w:hAnsi="Times New Roman"/>
          <w:b/>
          <w:i w:val="0"/>
          <w:color w:val="2F5496"/>
          <w:sz w:val="24"/>
        </w:rPr>
        <w:t>8.1 What Has Been Established</w:t>
      </w:r>
    </w:p>
    <w:p>
      <w:pPr>
        <w:spacing w:before="0" w:after="60" w:line="260" w:lineRule="exact"/>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before="200" w:after="80"/>
      </w:pPr>
      <w:r>
        <w:rPr>
          <w:rFonts w:ascii="Times New Roman" w:hAnsi="Times New Roman"/>
          <w:b/>
          <w:i w:val="0"/>
          <w:color w:val="2F5496"/>
          <w:sz w:val="24"/>
        </w:rPr>
        <w:t>8.2 What Remains Unknown</w:t>
      </w:r>
    </w:p>
    <w:p>
      <w:pPr>
        <w:spacing w:before="0" w:after="60" w:line="260" w:lineRule="exact"/>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before="200" w:after="80"/>
      </w:pPr>
      <w:r>
        <w:rPr>
          <w:rFonts w:ascii="Times New Roman" w:hAnsi="Times New Roman"/>
          <w:b/>
          <w:i w:val="0"/>
          <w:color w:val="2F5496"/>
          <w:sz w:val="24"/>
        </w:rPr>
        <w:t>8.3 Candidate Mechanism Classes</w:t>
      </w:r>
    </w:p>
    <w:p>
      <w:pPr>
        <w:spacing w:before="0" w:after="40" w:line="260" w:lineRule="exact"/>
        <w:ind w:left="720" w:hanging="360"/>
      </w:pPr>
      <w:r>
        <w:rPr>
          <w:rFonts w:ascii="Times New Roman" w:hAnsi="Times New Roman"/>
          <w:b/>
          <w:i w:val="0"/>
          <w:color w:val="000000"/>
          <w:sz w:val="22"/>
        </w:rPr>
        <w:t xml:space="preserve">A. Finite state grammar. </w:t>
      </w:r>
      <w:r>
        <w:rPr>
          <w:rFonts w:ascii="Times New Roman" w:hAnsi="Times New Roman"/>
          <w:b w:val="0"/>
          <w:i w:val="0"/>
          <w:color w:val="000000"/>
          <w:sz w:val="22"/>
        </w:rPr>
        <w:t>The lifecycle as a formal grammar with production rules. Each stage is a non-terminal symbol; transitions are rewrite rules. Would need to explain why the grammar has exactly four non-terminals and why the production rules are asymmetric.</w:t>
      </w:r>
    </w:p>
    <w:p>
      <w:pPr>
        <w:spacing w:before="0" w:after="40" w:line="260" w:lineRule="exact"/>
        <w:ind w:left="720" w:hanging="360"/>
      </w:pPr>
      <w:r>
        <w:rPr>
          <w:rFonts w:ascii="Times New Roman" w:hAnsi="Times New Roman"/>
          <w:b/>
          <w:i w:val="0"/>
          <w:color w:val="000000"/>
          <w:sz w:val="22"/>
        </w:rPr>
        <w:t xml:space="preserve">B. Thermodynamic engine. </w:t>
      </w:r>
      <w:r>
        <w:rPr>
          <w:rFonts w:ascii="Times New Roman" w:hAnsi="Times New Roman"/>
          <w:b w:val="0"/>
          <w:i w:val="0"/>
          <w:color w:val="000000"/>
          <w:sz w:val="22"/>
        </w:rPr>
        <w:t>The lifecycle as energy dissipation with phase transitions. Each stage corresponds to a thermodynamic regime. Would need to explain the specific operator–stage bindings without introducing domain-specific parameters.</w:t>
      </w:r>
    </w:p>
    <w:p>
      <w:pPr>
        <w:spacing w:before="0" w:after="40" w:line="260" w:lineRule="exact"/>
        <w:ind w:left="720" w:hanging="360"/>
      </w:pPr>
      <w:r>
        <w:rPr>
          <w:rFonts w:ascii="Times New Roman" w:hAnsi="Times New Roman"/>
          <w:b/>
          <w:i w:val="0"/>
          <w:color w:val="000000"/>
          <w:sz w:val="22"/>
        </w:rPr>
        <w:t xml:space="preserve">C. Information bottleneck. </w:t>
      </w:r>
      <w:r>
        <w:rPr>
          <w:rFonts w:ascii="Times New Roman" w:hAnsi="Times New Roman"/>
          <w:b w:val="0"/>
          <w:i w:val="0"/>
          <w:color w:val="000000"/>
          <w:sz w:val="22"/>
        </w:rPr>
        <w:t>The lifecycle as a compression–expansion cycle. Gathering stages expand the information channel; narrowing stages compress it. Would need to explain why the cycle has a fixed phase order rather than oscillating freely.</w:t>
      </w:r>
    </w:p>
    <w:p>
      <w:pPr>
        <w:spacing w:before="0" w:after="40" w:line="260" w:lineRule="exact"/>
        <w:ind w:left="720" w:hanging="360"/>
      </w:pPr>
      <w:r>
        <w:rPr>
          <w:rFonts w:ascii="Times New Roman" w:hAnsi="Times New Roman"/>
          <w:b/>
          <w:i w:val="0"/>
          <w:color w:val="000000"/>
          <w:sz w:val="22"/>
        </w:rPr>
        <w:t xml:space="preserve">D. Evolutionary search architecture. </w:t>
      </w:r>
      <w:r>
        <w:rPr>
          <w:rFonts w:ascii="Times New Roman" w:hAnsi="Times New Roman"/>
          <w:b w:val="0"/>
          <w:i w:val="0"/>
          <w:color w:val="000000"/>
          <w:sz w:val="22"/>
        </w:rPr>
        <w:t>The lifecycle as a structured exploration algorithm with generation, selection, refinement, and deployment phases. Would need to explain why this particular decomposition is favored over alternatives.</w:t>
      </w:r>
    </w:p>
    <w:p>
      <w:pPr>
        <w:spacing w:before="200" w:after="80"/>
      </w:pPr>
      <w:r>
        <w:rPr>
          <w:rFonts w:ascii="Times New Roman" w:hAnsi="Times New Roman"/>
          <w:b/>
          <w:i w:val="0"/>
          <w:color w:val="2F5496"/>
          <w:sz w:val="24"/>
        </w:rPr>
        <w:t>8.4 Success and Failure Criteria</w:t>
      </w:r>
    </w:p>
    <w:p>
      <w:pPr>
        <w:spacing w:before="0" w:after="60" w:line="260" w:lineRule="exact"/>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before="320" w:after="120"/>
      </w:pPr>
      <w:r>
        <w:rPr>
          <w:rFonts w:ascii="Times New Roman" w:hAnsi="Times New Roman"/>
          <w:b/>
          <w:i w:val="0"/>
          <w:color w:val="2F5496"/>
          <w:sz w:val="28"/>
        </w:rPr>
        <w:t>9. Open Problems</w:t>
      </w:r>
    </w:p>
    <w:p>
      <w:pPr>
        <w:spacing w:before="0" w:after="60" w:line="260" w:lineRule="exact"/>
      </w:pPr>
      <w:r>
        <w:rPr>
          <w:rFonts w:ascii="Times New Roman" w:hAnsi="Times New Roman"/>
          <w:b w:val="0"/>
          <w:i w:val="0"/>
          <w:color w:val="000000"/>
          <w:sz w:val="22"/>
        </w:rPr>
        <w:t>The following problems represent the current frontiers of TFP research:</w:t>
      </w:r>
    </w:p>
    <w:p>
      <w:pPr>
        <w:spacing w:before="0" w:after="40" w:line="260" w:lineRule="exact"/>
        <w:ind w:left="720" w:hanging="360"/>
      </w:pPr>
      <w:r>
        <w:rPr>
          <w:rFonts w:ascii="Times New Roman" w:hAnsi="Times New Roman"/>
          <w:b w:val="0"/>
          <w:i w:val="0"/>
          <w:color w:val="000000"/>
          <w:sz w:val="22"/>
        </w:rPr>
        <w:t>1. Direct Q1 measurement. Q1 (internal orientation) has not been directly measured. Testing requires process-tracing methods such as eye-tracking, think-aloud protocols, or neural recording during the earliest stages of a lifecycle process.</w:t>
      </w:r>
    </w:p>
    <w:p>
      <w:pPr>
        <w:spacing w:before="0" w:after="40" w:line="260" w:lineRule="exact"/>
        <w:ind w:left="720" w:hanging="360"/>
      </w:pPr>
      <w:r>
        <w:rPr>
          <w:rFonts w:ascii="Times New Roman" w:hAnsi="Times New Roman"/>
          <w:b w:val="0"/>
          <w:i w:val="0"/>
          <w:color w:val="000000"/>
          <w:sz w:val="22"/>
        </w:rPr>
        <w:t>2. Direct Q4A measurement. Q4A (deployment continuation) has not been independently validated. Testing requires multi-stage tracking of systems that successfully pass the Q4 viability gate.</w:t>
      </w:r>
    </w:p>
    <w:p>
      <w:pPr>
        <w:spacing w:before="0" w:after="40" w:line="260" w:lineRule="exact"/>
        <w:ind w:left="720" w:hanging="360"/>
      </w:pPr>
      <w:r>
        <w:rPr>
          <w:rFonts w:ascii="Times New Roman" w:hAnsi="Times New Roman"/>
          <w:b w:val="0"/>
          <w:i w:val="0"/>
          <w:color w:val="000000"/>
          <w:sz w:val="22"/>
        </w:rPr>
        <w:t>3. B_in independent validation. The internal stabilization operator (B_in) has not been tested independently of the other operators. Developing independent B_in metrics is a prerequisite for full four-operator validation.</w:t>
      </w:r>
    </w:p>
    <w:p>
      <w:pPr>
        <w:spacing w:before="0" w:after="40" w:line="260" w:lineRule="exact"/>
        <w:ind w:left="720" w:hanging="360"/>
      </w:pPr>
      <w:r>
        <w:rPr>
          <w:rFonts w:ascii="Times New Roman" w:hAnsi="Times New Roman"/>
          <w:b w:val="0"/>
          <w:i w:val="0"/>
          <w:color w:val="000000"/>
          <w:sz w:val="22"/>
        </w:rPr>
        <w:t>4. Non-institutional domain testing.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before="0" w:after="40" w:line="260" w:lineRule="exact"/>
        <w:ind w:left="720" w:hanging="360"/>
      </w:pPr>
      <w:r>
        <w:rPr>
          <w:rFonts w:ascii="Times New Roman" w:hAnsi="Times New Roman"/>
          <w:b w:val="0"/>
          <w:i w:val="0"/>
          <w:color w:val="000000"/>
          <w:sz w:val="22"/>
        </w:rPr>
        <w:t>5. Stronger quantitative predictions. Current TFP predictions are directional (operator X peaks at stage Y). Moving to quantitative predictions—specifying expected effect size ranges—would strengthen the framework’s falsifiability.</w:t>
      </w:r>
    </w:p>
    <w:p>
      <w:pPr>
        <w:spacing w:before="0" w:after="40" w:line="260" w:lineRule="exact"/>
        <w:ind w:left="720" w:hanging="360"/>
      </w:pPr>
      <w:r>
        <w:rPr>
          <w:rFonts w:ascii="Times New Roman" w:hAnsi="Times New Roman"/>
          <w:b w:val="0"/>
          <w:i w:val="0"/>
          <w:color w:val="000000"/>
          <w:sz w:val="22"/>
        </w:rPr>
        <w:t>6. Domain boundary conditions. Systematic identification of which systems exhibit TFP structure and which do not. Understanding why some systems lack lifecycle structure is as important as understanding why others have it.</w:t>
      </w:r>
    </w:p>
    <w:p>
      <w:pPr>
        <w:spacing w:before="0" w:after="40" w:line="260" w:lineRule="exact"/>
        <w:ind w:left="720" w:hanging="360"/>
      </w:pPr>
      <w:r>
        <w:rPr>
          <w:rFonts w:ascii="Times New Roman" w:hAnsi="Times New Roman"/>
          <w:b w:val="0"/>
          <w:i w:val="0"/>
          <w:color w:val="000000"/>
          <w:sz w:val="22"/>
        </w:rPr>
        <w:t>7. Inside-out generator search. Identifying the mechanism that generates the observed surface invariants (see Section 8).</w:t>
      </w:r>
    </w:p>
    <w:p>
      <w:pPr>
        <w:spacing w:before="0" w:after="40" w:line="260" w:lineRule="exact"/>
        <w:ind w:left="720" w:hanging="360"/>
      </w:pPr>
      <w:r>
        <w:rPr>
          <w:rFonts w:ascii="Times New Roman" w:hAnsi="Times New Roman"/>
          <w:b w:val="0"/>
          <w:i w:val="0"/>
          <w:color w:val="000000"/>
          <w:sz w:val="22"/>
        </w:rPr>
        <w:t>8. Operator irreducibility. Are four operators the minimum number required, or could the observed signatures be explained by fewer (or more) operators? Formal analysis of operator independence and irreducibility is needed.</w:t>
      </w:r>
    </w:p>
    <w:p>
      <w:pPr>
        <w:spacing w:before="0" w:after="40" w:line="260" w:lineRule="exact"/>
        <w:ind w:left="720" w:hanging="360"/>
      </w:pPr>
      <w:r>
        <w:rPr>
          <w:rFonts w:ascii="Times New Roman" w:hAnsi="Times New Roman"/>
          <w:b w:val="0"/>
          <w:i w:val="0"/>
          <w:color w:val="000000"/>
          <w:sz w:val="22"/>
        </w:rPr>
        <w:t>9. Cross-scale isomorphism. TFP predicts that the same lifecycle structure appears at micro, meso, and macro scales. This prediction has not been tested.</w:t>
      </w:r>
    </w:p>
    <w:p>
      <w:pPr>
        <w:spacing w:before="0" w:after="40" w:line="260" w:lineRule="exact"/>
        <w:ind w:left="720" w:hanging="360"/>
      </w:pPr>
      <w:r>
        <w:rPr>
          <w:rFonts w:ascii="Times New Roman" w:hAnsi="Times New Roman"/>
          <w:b w:val="0"/>
          <w:i w:val="0"/>
          <w:color w:val="000000"/>
          <w:sz w:val="22"/>
        </w:rPr>
        <w:t>10. Relation to existing frameworks. Systematic comparison of TFP with explore–exploit models, lifecycle frameworks in organizational science, phase transition models in physics, and developmental stage theories in biology.</w:t>
      </w:r>
    </w:p>
    <w:p>
      <w:pPr>
        <w:spacing w:before="320" w:after="120"/>
      </w:pPr>
      <w:r>
        <w:rPr>
          <w:rFonts w:ascii="Times New Roman" w:hAnsi="Times New Roman"/>
          <w:b/>
          <w:i w:val="0"/>
          <w:color w:val="2F5496"/>
          <w:sz w:val="28"/>
        </w:rPr>
        <w:t>10. How Outside Researchers Can Contribute</w:t>
      </w:r>
    </w:p>
    <w:p>
      <w:pPr>
        <w:spacing w:before="0" w:after="60" w:line="260" w:lineRule="exact"/>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before="0" w:after="40" w:line="260" w:lineRule="exact"/>
        <w:ind w:left="720" w:hanging="360"/>
      </w:pPr>
      <w:r>
        <w:rPr>
          <w:rFonts w:ascii="Times New Roman" w:hAnsi="Times New Roman"/>
          <w:b/>
          <w:i w:val="0"/>
          <w:color w:val="000000"/>
          <w:sz w:val="22"/>
        </w:rPr>
        <w:t xml:space="preserve">Computational researchers: </w:t>
      </w:r>
      <w:r>
        <w:rPr>
          <w:rFonts w:ascii="Times New Roman" w:hAnsi="Times New Roman"/>
          <w:b w:val="0"/>
          <w:i w:val="0"/>
          <w:color w:val="000000"/>
          <w:sz w:val="22"/>
        </w:rPr>
        <w:t>Run the permutation search on new domains, build latent-state rival models, search for minimal generators that reproduce TFP’s signatures.</w:t>
      </w:r>
    </w:p>
    <w:p>
      <w:pPr>
        <w:spacing w:before="0" w:after="40" w:line="260" w:lineRule="exact"/>
        <w:ind w:left="720" w:hanging="360"/>
      </w:pPr>
      <w:r>
        <w:rPr>
          <w:rFonts w:ascii="Times New Roman" w:hAnsi="Times New Roman"/>
          <w:b/>
          <w:i w:val="0"/>
          <w:color w:val="000000"/>
          <w:sz w:val="22"/>
        </w:rPr>
        <w:t xml:space="preserve">Behavioral scientists: </w:t>
      </w:r>
      <w:r>
        <w:rPr>
          <w:rFonts w:ascii="Times New Roman" w:hAnsi="Times New Roman"/>
          <w:b w:val="0"/>
          <w:i w:val="0"/>
          <w:color w:val="000000"/>
          <w:sz w:val="22"/>
        </w:rPr>
        <w:t>Test Q1 and Q4B predictions with process-tracing methods, design experiments that distinguish TFP from generic explore–exploit models.</w:t>
      </w:r>
    </w:p>
    <w:p>
      <w:pPr>
        <w:spacing w:before="0" w:after="40" w:line="260" w:lineRule="exact"/>
        <w:ind w:left="720" w:hanging="360"/>
      </w:pPr>
      <w:r>
        <w:rPr>
          <w:rFonts w:ascii="Times New Roman" w:hAnsi="Times New Roman"/>
          <w:b/>
          <w:i w:val="0"/>
          <w:color w:val="000000"/>
          <w:sz w:val="22"/>
        </w:rPr>
        <w:t xml:space="preserve">Complexity scientists: </w:t>
      </w:r>
      <w:r>
        <w:rPr>
          <w:rFonts w:ascii="Times New Roman" w:hAnsi="Times New Roman"/>
          <w:b w:val="0"/>
          <w:i w:val="0"/>
          <w:color w:val="000000"/>
          <w:sz w:val="22"/>
        </w:rPr>
        <w:t>Formalize the lifecycle as a dynamical system, test cross-scale predictions, explore connections to phase transition theory.</w:t>
      </w:r>
    </w:p>
    <w:p>
      <w:pPr>
        <w:spacing w:before="0" w:after="40" w:line="260" w:lineRule="exact"/>
        <w:ind w:left="720" w:hanging="360"/>
      </w:pPr>
      <w:r>
        <w:rPr>
          <w:rFonts w:ascii="Times New Roman" w:hAnsi="Times New Roman"/>
          <w:b/>
          <w:i w:val="0"/>
          <w:color w:val="000000"/>
          <w:sz w:val="22"/>
        </w:rPr>
        <w:t xml:space="preserve">Data scientists: </w:t>
      </w:r>
      <w:r>
        <w:rPr>
          <w:rFonts w:ascii="Times New Roman" w:hAnsi="Times New Roman"/>
          <w:b w:val="0"/>
          <w:i w:val="0"/>
          <w:color w:val="000000"/>
          <w:sz w:val="22"/>
        </w:rPr>
        <w:t>Apply the benchmark pipeline to new lifecycle datasets, develop improved operator metrics, test sensitivity to metric choice.</w:t>
      </w:r>
    </w:p>
    <w:p>
      <w:pPr>
        <w:spacing w:before="0" w:after="40" w:line="260" w:lineRule="exact"/>
        <w:ind w:left="720" w:hanging="360"/>
      </w:pPr>
      <w:r>
        <w:rPr>
          <w:rFonts w:ascii="Times New Roman" w:hAnsi="Times New Roman"/>
          <w:b/>
          <w:i w:val="0"/>
          <w:color w:val="000000"/>
          <w:sz w:val="22"/>
        </w:rPr>
        <w:t xml:space="preserve">AI researchers: </w:t>
      </w:r>
      <w:r>
        <w:rPr>
          <w:rFonts w:ascii="Times New Roman" w:hAnsi="Times New Roman"/>
          <w:b w:val="0"/>
          <w:i w:val="0"/>
          <w:color w:val="000000"/>
          <w:sz w:val="22"/>
        </w:rPr>
        <w:t>Build TFP-inspired architectures, test whether TFP lifecycle structure improves reinforcement learning agents, investigate whether learned agents spontaneously develop TFP-like stage structure.</w:t>
      </w:r>
    </w:p>
    <w:p>
      <w:pPr>
        <w:spacing w:before="0" w:after="40" w:line="260" w:lineRule="exact"/>
        <w:ind w:left="720" w:hanging="360"/>
      </w:pPr>
      <w:r>
        <w:rPr>
          <w:rFonts w:ascii="Times New Roman" w:hAnsi="Times New Roman"/>
          <w:b/>
          <w:i w:val="0"/>
          <w:color w:val="000000"/>
          <w:sz w:val="22"/>
        </w:rPr>
        <w:t xml:space="preserve">Methodologists: </w:t>
      </w:r>
      <w:r>
        <w:rPr>
          <w:rFonts w:ascii="Times New Roman" w:hAnsi="Times New Roman"/>
          <w:b w:val="0"/>
          <w:i w:val="0"/>
          <w:color w:val="000000"/>
          <w:sz w:val="22"/>
        </w:rPr>
        <w:t>Develop better falsification tests, formalize the invariant hierarchy, design statistical frameworks for comparing lifecycle grammars.</w:t>
      </w:r>
    </w:p>
    <w:p>
      <w:pPr>
        <w:spacing w:before="320" w:after="120"/>
      </w:pPr>
      <w:r>
        <w:rPr>
          <w:rFonts w:ascii="Times New Roman" w:hAnsi="Times New Roman"/>
          <w:b/>
          <w:i w:val="0"/>
          <w:color w:val="2F5496"/>
          <w:sz w:val="28"/>
        </w:rPr>
        <w:t>11. Conclusion</w:t>
      </w:r>
    </w:p>
    <w:p>
      <w:pPr>
        <w:spacing w:before="0" w:after="60" w:line="260" w:lineRule="exact"/>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before="0" w:after="60" w:line="260" w:lineRule="exact"/>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and kill criteria for each claim. The mechanism roadmap (Section 8) identifies the gap between surface invariants and their underlying generator without overstating current theoretical understanding.</w:t>
      </w:r>
    </w:p>
    <w:p>
      <w:pPr>
        <w:spacing w:before="0" w:after="60" w:line="260" w:lineRule="exact"/>
      </w:pPr>
      <w:r>
        <w:rPr>
          <w:rFonts w:ascii="Times New Roman" w:hAnsi="Times New Roman"/>
          <w:b w:val="0"/>
          <w:i w:val="0"/>
          <w:color w:val="000000"/>
          <w:sz w:val="22"/>
        </w:rPr>
        <w:t>The next stage of progress depends on outsiders trying to break, formalize, or extend TFP. Researchers who find that TFP’s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before="320" w:after="120"/>
      </w:pPr>
      <w:r>
        <w:rPr>
          <w:rFonts w:ascii="Times New Roman" w:hAnsi="Times New Roman"/>
          <w:b/>
          <w:i w:val="0"/>
          <w:color w:val="2F5496"/>
          <w:sz w:val="28"/>
        </w:rPr>
        <w:t>References</w:t>
      </w:r>
    </w:p>
    <w:p>
      <w:pPr>
        <w:spacing w:before="0" w:after="60" w:line="260" w:lineRule="exact"/>
        <w:ind w:left="720" w:hanging="720"/>
      </w:pPr>
      <w:r>
        <w:rPr>
          <w:rFonts w:ascii="Times New Roman" w:hAnsi="Times New Roman"/>
          <w:b w:val="0"/>
          <w:i w:val="0"/>
          <w:color w:val="000000"/>
          <w:sz w:val="22"/>
        </w:rPr>
        <w:t>[1] Ollar, A. (2026). Dual-Memory Dissociation in Adaptive Sequential Decision-Making: A Simulation Study. Manuscript submitted to Expert Systems with Applications.</w:t>
      </w:r>
    </w:p>
    <w:p>
      <w:pPr>
        <w:spacing w:before="0" w:after="60" w:line="260" w:lineRule="exact"/>
        <w:ind w:left="720" w:hanging="720"/>
      </w:pPr>
      <w:r>
        <w:rPr>
          <w:rFonts w:ascii="Times New Roman" w:hAnsi="Times New Roman"/>
          <w:b w:val="0"/>
          <w:i w:val="0"/>
          <w:color w:val="000000"/>
          <w:sz w:val="22"/>
        </w:rPr>
        <w:t>[2] Ollar, A. (2026). Battery Attribution and Cross-Dataset Dissociation of Lifecycle Stage Functions. Manuscript submitted to Journal of Power Sources.</w:t>
      </w:r>
    </w:p>
    <w:p>
      <w:pPr>
        <w:spacing w:before="0" w:after="60" w:line="260" w:lineRule="exact"/>
        <w:ind w:left="720" w:hanging="720"/>
      </w:pPr>
      <w:r>
        <w:rPr>
          <w:rFonts w:ascii="Times New Roman" w:hAnsi="Times New Roman"/>
          <w:b w:val="0"/>
          <w:i w:val="0"/>
          <w:color w:val="000000"/>
          <w:sz w:val="22"/>
        </w:rPr>
        <w:t>[3] Ollar, A. (2026). Structured Reseeding After Failure: Depletion-Gated Reorientation in a Foraging Task. Zenodo. https://doi.org/10.5281/zenodo.18930571</w:t>
      </w:r>
    </w:p>
    <w:p>
      <w:pPr>
        <w:spacing w:before="0" w:after="60" w:line="260" w:lineRule="exact"/>
        <w:ind w:left="720" w:hanging="720"/>
      </w:pPr>
      <w:r>
        <w:rPr>
          <w:rFonts w:ascii="Times New Roman" w:hAnsi="Times New Roman"/>
          <w:b w:val="0"/>
          <w:i w:val="0"/>
          <w:color w:val="000000"/>
          <w:sz w:val="22"/>
        </w:rPr>
        <w:t>[4] Ollar, A. (2026). Structural Opposition and Viability-Gated Reseeding in Institutional Lifecycles. Manuscript in preparation. [Paper 4]</w:t>
      </w:r>
    </w:p>
    <w:p>
      <w:pPr>
        <w:spacing w:before="0" w:after="60" w:line="260" w:lineRule="exact"/>
        <w:ind w:left="720" w:hanging="720"/>
      </w:pPr>
      <w:r>
        <w:rPr>
          <w:rFonts w:ascii="Times New Roman" w:hAnsi="Times New Roman"/>
          <w:b w:val="0"/>
          <w:i w:val="0"/>
          <w:color w:val="000000"/>
          <w:sz w:val="22"/>
        </w:rPr>
        <w:t>[5] Ollar, A. (2026). Conserved Operator–Stage Binding Across Institutional Domains: A Permutation-Based Test of Lifecycle Grammar Non-Interchangeability. Manuscript in preparation. [Paper 5]</w:t>
      </w:r>
    </w:p>
    <w:p>
      <w:pPr>
        <w:spacing w:before="0" w:after="60" w:line="260" w:lineRule="exact"/>
        <w:ind w:left="720" w:hanging="72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before="0" w:after="60" w:line="260" w:lineRule="exact"/>
        <w:ind w:left="720" w:hanging="720"/>
      </w:pPr>
      <w:r>
        <w:rPr>
          <w:rFonts w:ascii="Times New Roman" w:hAnsi="Times New Roman"/>
          <w:b w:val="0"/>
          <w:i w:val="0"/>
          <w:color w:val="000000"/>
          <w:sz w:val="22"/>
        </w:rPr>
        <w:t>[7] Holland, J. H. (1975). Adaptation in Natural and Artificial Systems. University of Michigan Press.</w:t>
      </w:r>
    </w:p>
    <w:p>
      <w:pPr>
        <w:spacing w:before="0" w:after="60" w:line="260" w:lineRule="exact"/>
        <w:ind w:left="720" w:hanging="720"/>
      </w:pPr>
      <w:r>
        <w:rPr>
          <w:rFonts w:ascii="Times New Roman" w:hAnsi="Times New Roman"/>
          <w:b w:val="0"/>
          <w:i w:val="0"/>
          <w:color w:val="000000"/>
          <w:sz w:val="22"/>
        </w:rPr>
        <w:t>[8] Levinthal, D. A. (1997). Adaptation on rugged landscapes. Management Science, 43(7), 934–950.</w:t>
      </w:r>
    </w:p>
    <w:p>
      <w:pPr>
        <w:spacing w:before="0" w:after="60" w:line="260" w:lineRule="exact"/>
        <w:ind w:left="720" w:hanging="720"/>
      </w:pPr>
      <w:r>
        <w:rPr>
          <w:rFonts w:ascii="Times New Roman" w:hAnsi="Times New Roman"/>
          <w:b w:val="0"/>
          <w:i w:val="0"/>
          <w:color w:val="000000"/>
          <w:sz w:val="22"/>
        </w:rPr>
        <w:t>[9] March, J. G. (1991). Exploration and exploitation in organizational learning. Organization Science, 2(1), 71–87.</w:t>
      </w:r>
    </w:p>
    <w:p>
      <w:pPr>
        <w:spacing w:before="0" w:after="60" w:line="260" w:lineRule="exact"/>
        <w:ind w:left="720" w:hanging="72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before="320" w:after="120"/>
      </w:pPr>
      <w:r>
        <w:rPr>
          <w:rFonts w:ascii="Times New Roman" w:hAnsi="Times New Roman"/>
          <w:b/>
          <w:i w:val="0"/>
          <w:color w:val="2F5496"/>
          <w:sz w:val="28"/>
        </w:rPr>
        <w:t>Use of AI Tools</w:t>
      </w:r>
    </w:p>
    <w:p>
      <w:pPr>
        <w:spacing w:before="0" w:after="60" w:line="260" w:lineRule="exact"/>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before="320" w:after="120"/>
      </w:pPr>
      <w:r>
        <w:rPr>
          <w:rFonts w:ascii="Times New Roman" w:hAnsi="Times New Roman"/>
          <w:b/>
          <w:i w:val="0"/>
          <w:color w:val="2F5496"/>
          <w:sz w:val="28"/>
        </w:rPr>
        <w:t>Data and Code Availability</w:t>
      </w:r>
    </w:p>
    <w:p>
      <w:pPr>
        <w:spacing w:before="0" w:after="60" w:line="260" w:lineRule="exact"/>
      </w:pPr>
      <w:r>
        <w:rPr>
          <w:rFonts w:ascii="Times New Roman" w:hAnsi="Times New Roman"/>
          <w:b w:val="0"/>
          <w:i w:val="0"/>
          <w:color w:val="000000"/>
          <w:sz w:val="22"/>
        </w:rPr>
        <w:t>Analysis code is available at https://github.com/aollar/TFP-core (private repository; access available on request to the author). Supplementary materials, including benchmark scripts and operator measurement templates, are available at https://github.com/aollar/TFP-supplementary-materials (public repository).</w:t>
      </w:r>
    </w:p>
    <w:p>
      <w:pPr>
        <w:spacing w:before="0" w:after="60" w:line="260" w:lineRule="exact"/>
      </w:pPr>
      <w:r>
        <w:rPr>
          <w:rFonts w:ascii="Times New Roman" w:hAnsi="Times New Roman"/>
          <w:b w:val="0"/>
          <w:i w:val="0"/>
          <w:color w:val="000000"/>
          <w:sz w:val="22"/>
        </w:rPr>
        <w:t>Public datasets used in the TFP research program:</w:t>
      </w:r>
    </w:p>
    <w:p>
      <w:pPr>
        <w:spacing w:before="0" w:after="40" w:line="260" w:lineRule="exact"/>
        <w:ind w:left="720" w:hanging="360"/>
      </w:pPr>
      <w:r>
        <w:rPr>
          <w:rFonts w:ascii="Times New Roman" w:hAnsi="Times New Roman"/>
          <w:b w:val="0"/>
          <w:i w:val="0"/>
          <w:color w:val="000000"/>
          <w:sz w:val="22"/>
        </w:rPr>
        <w:t>• IETF RFC and Internet-Draft archives: https://www.ietf.org/standards/rfcs/</w:t>
      </w:r>
    </w:p>
    <w:p>
      <w:pPr>
        <w:spacing w:before="0" w:after="40" w:line="260" w:lineRule="exact"/>
        <w:ind w:left="720" w:hanging="360"/>
      </w:pPr>
      <w:r>
        <w:rPr>
          <w:rFonts w:ascii="Times New Roman" w:hAnsi="Times New Roman"/>
          <w:b w:val="0"/>
          <w:i w:val="0"/>
          <w:color w:val="000000"/>
          <w:sz w:val="22"/>
        </w:rPr>
        <w:t>• ClinicalTrials.gov: https://clinicaltrials.gov/</w:t>
      </w:r>
    </w:p>
    <w:p>
      <w:pPr>
        <w:spacing w:before="0" w:after="40" w:line="260" w:lineRule="exact"/>
        <w:ind w:left="720" w:hanging="360"/>
      </w:pPr>
      <w:r>
        <w:rPr>
          <w:rFonts w:ascii="Times New Roman" w:hAnsi="Times New Roman"/>
          <w:b w:val="0"/>
          <w:i w:val="0"/>
          <w:color w:val="000000"/>
          <w:sz w:val="22"/>
        </w:rPr>
        <w:t>• Federal Register (EPA rules): https://www.federalregister.gov/</w:t>
      </w:r>
    </w:p>
    <w:p>
      <w:pPr>
        <w:spacing w:before="0" w:after="40" w:line="260" w:lineRule="exact"/>
        <w:ind w:left="720" w:hanging="360"/>
      </w:pPr>
      <w:r>
        <w:rPr>
          <w:rFonts w:ascii="Times New Roman" w:hAnsi="Times New Roman"/>
          <w:b w:val="0"/>
          <w:i w:val="0"/>
          <w:color w:val="000000"/>
          <w:sz w:val="22"/>
        </w:rPr>
        <w:t>• USPTO Patent Data: https://bulkdata.uspto.gov/</w:t>
      </w:r>
    </w:p>
    <w:p>
      <w:pPr>
        <w:spacing w:before="0" w:after="40" w:line="260" w:lineRule="exact"/>
        <w:ind w:left="720" w:hanging="360"/>
      </w:pPr>
      <w:r>
        <w:rPr>
          <w:rFonts w:ascii="Times New Roman" w:hAnsi="Times New Roman"/>
          <w:b w:val="0"/>
          <w:i w:val="0"/>
          <w:color w:val="000000"/>
          <w:sz w:val="22"/>
        </w:rPr>
        <w:t>• Python Enhancement Proposals: https://peps.python.org/</w:t>
      </w:r>
    </w:p>
    <w:p>
      <w:pPr>
        <w:spacing w:before="0" w:after="40" w:line="260" w:lineRule="exact"/>
        <w:ind w:left="720" w:hanging="3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