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B_in (Internal anchor): Sticky internal reference resistant to change. Measurable as revision rate decline, protocol stability, self-citation persistence.</w:t>
      </w:r>
    </w:p>
    <w:p>
      <w:pPr>
        <w:spacing w:after="60"/>
      </w:pPr>
      <w:r>
        <w:rPr>
          <w:rFonts w:ascii="Times New Roman" w:hAnsi="Times New Roman"/>
          <w:b w:val="0"/>
          <w:i w:val="0"/>
          <w:color w:val="000000"/>
          <w:sz w:val="22"/>
        </w:rPr>
        <w:t>• E_out (External gathering): Broad scanning, channel-changing, gathering novelty. Measurable as cross-reference diversity, collaborator count, comment volume.</w:t>
      </w:r>
    </w:p>
    <w:p>
      <w:pPr>
        <w:spacing w:after="60"/>
      </w:pPr>
      <w:r>
        <w:rPr>
          <w:rFonts w:ascii="Times New Roman" w:hAnsi="Times New Roman"/>
          <w:b w:val="0"/>
          <w:i w:val="0"/>
          <w:color w:val="000000"/>
          <w:sz w:val="22"/>
        </w:rPr>
        <w:t>• E_in (Internal narrowing): Concluding, eliminating options, reducing candidates. Measurable as text diff magnitude, outcome count reduction, coupling rate.</w:t>
      </w:r>
    </w:p>
    <w:p>
      <w:pPr>
        <w:spacing w:after="60"/>
      </w:pPr>
      <w:r>
        <w:rPr>
          <w:rFonts w:ascii="Times New Roman" w:hAnsi="Times New Roman"/>
          <w:b w:val="0"/>
          <w:i w:val="0"/>
          <w:color w:val="000000"/>
          <w:sz w:val="22"/>
        </w:rPr>
        <w:t>• B_out (External commitment): Persistent global write, difficult to reverse.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Interlocking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is currently in a private repository (aollar/TFP-core) and will be made public upon publication. In the interim,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