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2F5496"/>
          <w:sz w:val="52"/>
        </w:rPr>
        <w:t>Testing The First Pattern:</w:t>
        <w:br/>
        <w:t>A Benchmark and Methods Guide for Lifecycle Stage Structure Research</w:t>
      </w:r>
    </w:p>
    <w:p>
      <w:pPr>
        <w:spacing w:after="120"/>
        <w:pBdr>
          <w:bottom w:val="single" w:sz="6" w:space="1" w:color="2F5496"/>
        </w:pBdr>
      </w:pPr>
    </w:p>
    <w:p>
      <w:pPr>
        <w:spacing w:after="20"/>
      </w:pPr>
      <w:r>
        <w:rPr>
          <w:rFonts w:ascii="Times New Roman" w:hAnsi="Times New Roman"/>
          <w:b w:val="0"/>
          <w:i w:val="0"/>
          <w:color w:val="000000"/>
          <w:sz w:val="22"/>
        </w:rPr>
        <w:t>Austin Ollar</w:t>
      </w:r>
    </w:p>
    <w:p>
      <w:pPr>
        <w:spacing w:after="20"/>
      </w:pPr>
      <w:r>
        <w:rPr>
          <w:rFonts w:ascii="Times New Roman" w:hAnsi="Times New Roman"/>
          <w:b w:val="0"/>
          <w:i w:val="0"/>
          <w:color w:val="000000"/>
          <w:sz w:val="22"/>
        </w:rPr>
        <w:t>ORCID: 0009-0002-9998-9287</w:t>
      </w:r>
    </w:p>
    <w:p>
      <w:pPr>
        <w:spacing w:after="120"/>
      </w:pPr>
      <w:r>
        <w:rPr>
          <w:rFonts w:ascii="Times New Roman" w:hAnsi="Times New Roman"/>
          <w:b w:val="0"/>
          <w:i w:val="0"/>
          <w:color w:val="000000"/>
          <w:sz w:val="22"/>
        </w:rPr>
      </w:r>
    </w:p>
    <w:p>
      <w:r>
        <w:rPr>
          <w:rFonts w:ascii="Times New Roman" w:hAnsi="Times New Roman"/>
          <w:b/>
          <w:color w:val="2F5496"/>
          <w:sz w:val="24"/>
        </w:rPr>
        <w:t>Start Here</w:t>
      </w:r>
    </w:p>
    <w:p>
      <w:r>
        <w:rPr>
          <w:rFonts w:ascii="Times New Roman" w:hAnsi="Times New Roman"/>
          <w:sz w:val="22"/>
        </w:rPr>
        <w:t>To understand what TFP claims: read Section 2.</w:t>
        <w:br/>
      </w:r>
      <w:r>
        <w:rPr>
          <w:rFonts w:ascii="Times New Roman" w:hAnsi="Times New Roman"/>
          <w:sz w:val="22"/>
        </w:rPr>
        <w:t>To see what has been validated: read Table 1 in Section 3.</w:t>
        <w:br/>
      </w:r>
      <w:r>
        <w:rPr>
          <w:rFonts w:ascii="Times New Roman" w:hAnsi="Times New Roman"/>
          <w:sz w:val="22"/>
        </w:rPr>
        <w:t>To test TFP on your own data: follow the protocol in Section 6.</w:t>
        <w:br/>
      </w:r>
      <w:r>
        <w:rPr>
          <w:rFonts w:ascii="Times New Roman" w:hAnsi="Times New Roman"/>
          <w:sz w:val="22"/>
        </w:rPr>
        <w:t>To find benchmark tasks and rival models: see Section 7.</w:t>
        <w:br/>
      </w:r>
      <w:r>
        <w:rPr>
          <w:rFonts w:ascii="Times New Roman" w:hAnsi="Times New Roman"/>
          <w:sz w:val="22"/>
        </w:rPr>
        <w:t>To identify open problems where your expertise applies: see Section 9.</w:t>
        <w:br/>
      </w:r>
      <w:r>
        <w:rPr>
          <w:rFonts w:ascii="Times New Roman" w:hAnsi="Times New Roman"/>
          <w:sz w:val="22"/>
        </w:rPr>
        <w:t>To report results (including negative findings): see CONTRIBUTING.md in the public repository.</w:t>
        <w:br/>
      </w:r>
    </w:p>
    <w:p>
      <w:pPr>
        <w:spacing w:after="120" w:before="240"/>
      </w:pPr>
      <w:r>
        <w:rPr>
          <w:rFonts w:ascii="Times New Roman" w:hAnsi="Times New Roman"/>
          <w:b/>
          <w:i w:val="0"/>
          <w:color w:val="2F5496"/>
          <w:sz w:val="28"/>
        </w:rPr>
        <w:t>Abstract</w:t>
      </w:r>
    </w:p>
    <w:p>
      <w:pPr>
        <w:spacing w:after="60"/>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organized around four information operators. This paper provides the minimum viable research package for outside researchers to independently test, replicate, falsify, or extend TFP predictions in new domains. We present: (a) a validated claims table with explicit confidence levels and assignment criteria; (b) canonical operational definitions for each information operator with measurable proxies; (c) step-by-step test protocols with prerequisites, time estimates, and explicit failure criteria; (d) benchmark tasks with rival models, minimum data requirements, and kill criteria; and (e) a catalog of open problems ranked by tractability. The current evidence base spans five papers covering institutional lifecycle domains (standards bodies, clinical trials, regulatory processes, patents), simulation, battery degradation, and foraging. Six core signatures have been validated at high confidence across multiple domains. Several predictions remain untested, the theoretical mechanism underlying the observed invariants is unknown, and the boundary conditions have not been systematically mapped. Every claim carries an explicit confidence level and every test carries explicit failure criteria. Researchers who find that TFP predictions fail in their domain will have contributed as much to the program as those who find support.</w:t>
      </w:r>
    </w:p>
    <w:p>
      <w:pPr>
        <w:spacing w:after="160"/>
      </w:pPr>
      <w:r>
        <w:rPr>
          <w:rFonts w:ascii="Times New Roman" w:hAnsi="Times New Roman"/>
          <w:b w:val="0"/>
          <w:i/>
          <w:color w:val="000000"/>
          <w:sz w:val="22"/>
        </w:rPr>
        <w:t>Keywords: lifecycle grammar, information operators, stage non-interchangeability, benchmark, falsification, research program, cross-domain invariants</w:t>
      </w:r>
    </w:p>
    <w:p>
      <w:pPr>
        <w:spacing w:after="120" w:before="240"/>
      </w:pPr>
      <w:r>
        <w:rPr>
          <w:rFonts w:ascii="Times New Roman" w:hAnsi="Times New Roman"/>
          <w:b/>
          <w:i w:val="0"/>
          <w:color w:val="2F5496"/>
          <w:sz w:val="28"/>
        </w:rPr>
        <w:t>1. Introduction</w:t>
      </w:r>
    </w:p>
    <w:p>
      <w:pPr>
        <w:spacing w:after="60"/>
      </w:pPr>
      <w:r>
        <w:rPr>
          <w:rFonts w:ascii="Times New Roman" w:hAnsi="Times New Roman"/>
          <w:b w:val="0"/>
          <w:i w:val="0"/>
          <w:color w:val="000000"/>
          <w:sz w:val="22"/>
        </w:rPr>
        <w:t>Lifecycle stage structure is a common feature of complex adaptive processes. Internet standards progress through proposal, review, and ratification stages. Clinical trials advance through protocol registration, enrollment, and results reporting. Regulatory rules move from proposal through comment periods to final publication. A natural question arises: are the functions performed at each stage arbitrary, or do they reflect a conserved structure?</w:t>
      </w:r>
    </w:p>
    <w:p>
      <w:pPr>
        <w:spacing w:after="60"/>
      </w:pPr>
      <w:r>
        <w:rPr>
          <w:rFonts w:ascii="Times New Roman" w:hAnsi="Times New Roman"/>
          <w:b w:val="0"/>
          <w:i w:val="0"/>
          <w:color w:val="000000"/>
          <w:sz w:val="22"/>
        </w:rPr>
        <w:t>The First Pattern (TFP) proposes a specific answer: systems that exhibit staged lifecycle progression will show conserved, non-interchangeable stage functions consistent with a four-quadrant Information Emergence Cycle (IEC). Each quadrant is governed by a distinct information operator, and TFP predicts that these operator–stage bindings are conserved across domains.</w:t>
      </w:r>
    </w:p>
    <w:p>
      <w:pPr>
        <w:spacing w:after="60"/>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after="60"/>
      </w:pPr>
      <w:r>
        <w:rPr>
          <w:rFonts w:ascii="Times New Roman" w:hAnsi="Times New Roman"/>
          <w:b w:val="0"/>
          <w:i w:val="0"/>
          <w:color w:val="000000"/>
          <w:sz w:val="22"/>
        </w:rPr>
        <w:t>The purpose of this paper is to provide a self-contained research toolkit for outside investigators. We supply: (a) precise definitions of what TFP claims and does not claim; (b) a summary of what has been validated and at what confidence level, with transparent criteria for how confidence levels are assigned; (c) canonical operational definitions for each operator with measurable proxies; (d) step-by-step instructions for testing TFP on a new domain, including prerequisites, time estimates, and what failure looks like at each step; (e) benchmark tasks with rival models, minimum data requirements, and kill criteria; (f) a mechanism roadmap for future theoretical work; and (g) a catalog of open problems.</w:t>
      </w:r>
    </w:p>
    <w:p>
      <w:pPr>
        <w:spacing w:after="60"/>
      </w:pPr>
      <w:r>
        <w:rPr>
          <w:rFonts w:ascii="Times New Roman" w:hAnsi="Times New Roman"/>
          <w:b w:val="0"/>
          <w:i w:val="0"/>
          <w:color w:val="000000"/>
          <w:sz w:val="22"/>
        </w:rPr>
        <w:t>This paper is not a theory pitch, not a proof, and not a manifesto. It is a benchmark and methods guide. Its value will be determined by whether outside researchers find it sufficient to run their own TFP tests without consulting the original author.</w:t>
      </w:r>
    </w:p>
    <w:p>
      <w:pPr>
        <w:spacing w:after="120" w:before="240"/>
      </w:pPr>
      <w:r>
        <w:rPr>
          <w:rFonts w:ascii="Times New Roman" w:hAnsi="Times New Roman"/>
          <w:b/>
          <w:i w:val="0"/>
          <w:color w:val="2F5496"/>
          <w:sz w:val="28"/>
        </w:rPr>
        <w:t>2. What TFP Claims</w:t>
      </w:r>
    </w:p>
    <w:p>
      <w:pPr>
        <w:spacing w:after="80" w:before="160"/>
      </w:pPr>
      <w:r>
        <w:rPr>
          <w:rFonts w:ascii="Times New Roman" w:hAnsi="Times New Roman"/>
          <w:b/>
          <w:i w:val="0"/>
          <w:color w:val="2F5496"/>
          <w:sz w:val="24"/>
        </w:rPr>
        <w:t>2.1 The Information Emergence Cycle</w:t>
      </w:r>
    </w:p>
    <w:p>
      <w:pPr>
        <w:spacing w:after="60"/>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w:t>
      </w:r>
    </w:p>
    <w:p>
      <w:pPr>
        <w:spacing w:after="60"/>
      </w:pPr>
      <w:r>
        <w:rPr>
          <w:rFonts w:ascii="Times New Roman" w:hAnsi="Times New Roman"/>
          <w:b w:val="0"/>
          <w:i w:val="0"/>
          <w:color w:val="000000"/>
          <w:sz w:val="22"/>
        </w:rPr>
        <w:t>• Q1 (Generation): The system forms an initial internal reference point before external engagement begins. In lifecycle terms, this corresponds to proposal drafting, study design, or initial filing. Q1 remains the least validated stage and is not directly tested in the current evidence base.</w:t>
      </w:r>
    </w:p>
    <w:p>
      <w:pPr>
        <w:spacing w:after="60"/>
      </w:pPr>
      <w:r>
        <w:rPr>
          <w:rFonts w:ascii="Times New Roman" w:hAnsi="Times New Roman"/>
          <w:b w:val="0"/>
          <w:i w:val="0"/>
          <w:color w:val="000000"/>
          <w:sz w:val="22"/>
        </w:rPr>
        <w:t>• Q2 (Selection): The system couples with external information sources, gathering broadly while consolidating internal references. In lifecycle terms, this is the broad intake and evaluation phase.</w:t>
      </w:r>
    </w:p>
    <w:p>
      <w:pPr>
        <w:spacing w:after="60"/>
      </w:pPr>
      <w:r>
        <w:rPr>
          <w:rFonts w:ascii="Times New Roman" w:hAnsi="Times New Roman"/>
          <w:b w:val="0"/>
          <w:i w:val="0"/>
          <w:color w:val="000000"/>
          <w:sz w:val="22"/>
        </w:rPr>
        <w:t>• Q3 (Refinement): The system narrows options internally while beginning to commit externally. In lifecycle terms, this is the convergence and decision phase.</w:t>
      </w:r>
    </w:p>
    <w:p>
      <w:pPr>
        <w:spacing w:after="60"/>
      </w:pPr>
      <w:r>
        <w:rPr>
          <w:rFonts w:ascii="Times New Roman" w:hAnsi="Times New Roman"/>
          <w:b w:val="0"/>
          <w:i w:val="0"/>
          <w:color w:val="000000"/>
          <w:sz w:val="22"/>
        </w:rPr>
        <w:t>• Q4 (Deployment): The system makes irreversible external commitments. Q4 bifurcates into Q4A (continuation along the current trajectory) and Q4B (viability-gated return to earlier lifecycle functions after failure).</w:t>
      </w:r>
    </w:p>
    <w:p>
      <w:r>
        <w:rPr>
          <w:rFonts w:ascii="Times New Roman" w:hAnsi="Times New Roman"/>
          <w:sz w:val="22"/>
        </w:rPr>
        <w:t>Each quadrant comprises two information operators in sequence -- an entry operator and an exit operator -- that together produce the quadrant's function:</w:t>
      </w:r>
    </w:p>
    <w:p>
      <w:r>
        <w:rPr>
          <w:rFonts w:ascii="Times New Roman" w:hAnsi="Times New Roman"/>
          <w:sz w:val="22"/>
        </w:rPr>
        <w:t>Q1: Bind_in -&gt; Explore_in  (stabilize internally, then explore internally)</w:t>
        <w:br/>
      </w:r>
      <w:r>
        <w:rPr>
          <w:rFonts w:ascii="Times New Roman" w:hAnsi="Times New Roman"/>
          <w:sz w:val="22"/>
        </w:rPr>
        <w:t>Q2: Explore_out -&gt; Bind_in  (gather externally, then consolidate internally)</w:t>
        <w:br/>
      </w:r>
      <w:r>
        <w:rPr>
          <w:rFonts w:ascii="Times New Roman" w:hAnsi="Times New Roman"/>
          <w:sz w:val="22"/>
        </w:rPr>
        <w:t>Q3: Explore_in -&gt; Bind_out  (transform internally, then commit externally)</w:t>
        <w:br/>
      </w:r>
      <w:r>
        <w:rPr>
          <w:rFonts w:ascii="Times New Roman" w:hAnsi="Times New Roman"/>
          <w:sz w:val="22"/>
        </w:rPr>
        <w:t>Q4: Bind_out -&gt; Explore_out  (deploy externally, then propagate)</w:t>
        <w:br/>
      </w:r>
    </w:p>
    <w:p>
      <w:r>
        <w:rPr>
          <w:rFonts w:ascii="Times New Roman" w:hAnsi="Times New Roman"/>
          <w:sz w:val="22"/>
        </w:rPr>
        <w:t>The current empirical evidence validates the entry operator at each stage: Explore_out at Q2, Explore_in at Q3, and Bind_out at Q4. The exit operators and the within-quadrant transition dynamics remain open problems for future work.</w:t>
      </w:r>
    </w:p>
    <w:p>
      <w:pPr>
        <w:spacing w:after="80" w:before="160"/>
      </w:pPr>
      <w:r>
        <w:rPr>
          <w:rFonts w:ascii="Times New Roman" w:hAnsi="Times New Roman"/>
          <w:b/>
          <w:i w:val="0"/>
          <w:color w:val="2F5496"/>
          <w:sz w:val="24"/>
        </w:rPr>
        <w:t>2.2 The Four Information Operators</w:t>
      </w:r>
    </w:p>
    <w:p>
      <w:pPr>
        <w:spacing w:after="60"/>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after="60"/>
      </w:pPr>
      <w:r>
        <w:rPr>
          <w:rFonts w:ascii="Times New Roman" w:hAnsi="Times New Roman"/>
          <w:b w:val="0"/>
          <w:i w:val="0"/>
          <w:color w:val="000000"/>
          <w:sz w:val="22"/>
        </w:rPr>
        <w:t>• Bind_in (B_in): Internal binding and stabilization. The system forms a stable internal reference point. Measurable as revision rate decline, protocol stability, self-citation persistence.</w:t>
      </w:r>
    </w:p>
    <w:p>
      <w:pPr>
        <w:spacing w:after="60"/>
      </w:pPr>
      <w:r>
        <w:rPr>
          <w:rFonts w:ascii="Times New Roman" w:hAnsi="Times New Roman"/>
          <w:b w:val="0"/>
          <w:i w:val="0"/>
          <w:color w:val="000000"/>
          <w:sz w:val="22"/>
        </w:rPr>
        <w:t>• Explore_out (E_out): External exploration and coupling. The system scans and gathers from external sources. Measurable as cross-reference diversity, collaborator count, comment volume.</w:t>
      </w:r>
    </w:p>
    <w:p>
      <w:pPr>
        <w:spacing w:after="60"/>
      </w:pPr>
      <w:r>
        <w:rPr>
          <w:rFonts w:ascii="Times New Roman" w:hAnsi="Times New Roman"/>
          <w:b w:val="0"/>
          <w:i w:val="0"/>
          <w:color w:val="000000"/>
          <w:sz w:val="22"/>
        </w:rPr>
        <w:t>• Explore_in (E_in): Internal exploration and transformation. The system refines, narrows, and integrates internally. Measurable as text diff magnitude, outcome count reduction, coupling rate.</w:t>
      </w:r>
    </w:p>
    <w:p>
      <w:pPr>
        <w:spacing w:after="60"/>
      </w:pPr>
      <w:r>
        <w:rPr>
          <w:rFonts w:ascii="Times New Roman" w:hAnsi="Times New Roman"/>
          <w:b w:val="0"/>
          <w:i w:val="0"/>
          <w:color w:val="000000"/>
          <w:sz w:val="22"/>
        </w:rPr>
        <w:t>• Bind_out (B_out): External binding and commitment. The system commits irreversibly to an external boundary. Measurable as publication, grant award, results posting, effective date.</w:t>
      </w:r>
    </w:p>
    <w:p>
      <w:pPr>
        <w:spacing w:after="80" w:before="160"/>
      </w:pPr>
      <w:r>
        <w:rPr>
          <w:rFonts w:ascii="Times New Roman" w:hAnsi="Times New Roman"/>
          <w:b/>
          <w:i w:val="0"/>
          <w:color w:val="2F5496"/>
          <w:sz w:val="24"/>
        </w:rPr>
        <w:t>2.3 Scope of the Claim</w:t>
      </w:r>
    </w:p>
    <w:p>
      <w:pPr>
        <w:spacing w:after="60"/>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after="120" w:before="240"/>
      </w:pPr>
      <w:r>
        <w:rPr>
          <w:rFonts w:ascii="Times New Roman" w:hAnsi="Times New Roman"/>
          <w:b/>
          <w:i w:val="0"/>
          <w:color w:val="2F5496"/>
          <w:sz w:val="28"/>
        </w:rPr>
        <w:t>3. What Has Been Validated</w:t>
      </w:r>
    </w:p>
    <w:p>
      <w:pPr>
        <w:spacing w:after="60"/>
      </w:pPr>
      <w:r>
        <w:rPr>
          <w:rFonts w:ascii="Times New Roman" w:hAnsi="Times New Roman"/>
          <w:b w:val="0"/>
          <w:i w:val="0"/>
          <w:color w:val="000000"/>
          <w:sz w:val="22"/>
        </w:rPr>
        <w:t>Table 1 summarizes the current validation status of TFP claims. Confidence levels reflect the strength and breadth of current evidence, not theoretical certainty. See Section 3.1 for confidence level definitions.</w:t>
      </w:r>
    </w:p>
    <w:p>
      <w:pPr>
        <w:spacing w:after="80"/>
      </w:pPr>
      <w:r>
        <w:rPr>
          <w:rFonts w:ascii="Times New Roman" w:hAnsi="Times New Roman"/>
          <w:b/>
          <w:i/>
          <w:color w:val="000000"/>
          <w:sz w:val="20"/>
        </w:rPr>
        <w:t>Table 1. TFP Claim Validation Status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Claim</w:t>
            </w:r>
          </w:p>
        </w:tc>
        <w:tc>
          <w:tcPr>
            <w:tcW w:type="dxa" w:w="1728"/>
            <w:shd w:fill="D9E2F3" w:val="clear"/>
          </w:tcPr>
          <w:p>
            <w:pPr>
              <w:spacing w:after="20" w:before="20"/>
            </w:pPr>
            <w:r/>
            <w:r>
              <w:rPr>
                <w:rFonts w:ascii="Times New Roman" w:hAnsi="Times New Roman"/>
                <w:b/>
                <w:color w:val="000000"/>
                <w:sz w:val="20"/>
              </w:rPr>
              <w:t>Paper</w:t>
            </w:r>
          </w:p>
        </w:tc>
        <w:tc>
          <w:tcPr>
            <w:tcW w:type="dxa" w:w="1728"/>
            <w:shd w:fill="D9E2F3" w:val="clear"/>
          </w:tcPr>
          <w:p>
            <w:pPr>
              <w:spacing w:after="20" w:before="20"/>
            </w:pPr>
            <w:r/>
            <w:r>
              <w:rPr>
                <w:rFonts w:ascii="Times New Roman" w:hAnsi="Times New Roman"/>
                <w:b/>
                <w:color w:val="000000"/>
                <w:sz w:val="20"/>
              </w:rPr>
              <w:t>Status</w:t>
            </w:r>
          </w:p>
        </w:tc>
        <w:tc>
          <w:tcPr>
            <w:tcW w:type="dxa" w:w="1728"/>
            <w:shd w:fill="D9E2F3" w:val="clear"/>
          </w:tcPr>
          <w:p>
            <w:pPr>
              <w:spacing w:after="20" w:before="20"/>
            </w:pPr>
            <w:r/>
            <w:r>
              <w:rPr>
                <w:rFonts w:ascii="Times New Roman" w:hAnsi="Times New Roman"/>
                <w:b/>
                <w:color w:val="000000"/>
                <w:sz w:val="20"/>
              </w:rPr>
              <w:t>Key Result</w:t>
            </w:r>
          </w:p>
        </w:tc>
        <w:tc>
          <w:tcPr>
            <w:tcW w:type="dxa" w:w="1728"/>
            <w:shd w:fill="D9E2F3" w:val="clear"/>
          </w:tcPr>
          <w:p>
            <w:pPr>
              <w:spacing w:after="20" w:before="20"/>
            </w:pPr>
            <w:r/>
            <w:r>
              <w:rPr>
                <w:rFonts w:ascii="Times New Roman" w:hAnsi="Times New Roman"/>
                <w:b/>
                <w:color w:val="000000"/>
                <w:sz w:val="20"/>
              </w:rPr>
              <w:t>Confidence</w:t>
            </w:r>
          </w:p>
        </w:tc>
      </w:tr>
      <w:tr>
        <w:tc>
          <w:tcPr>
            <w:tcW w:type="dxa" w:w="1728"/>
          </w:tcPr>
          <w:p>
            <w:pPr>
              <w:spacing w:after="20" w:before="20"/>
            </w:pPr>
            <w:r/>
            <w:r>
              <w:rPr>
                <w:rFonts w:ascii="Times New Roman" w:hAnsi="Times New Roman"/>
                <w:b w:val="0"/>
                <w:color w:val="000000"/>
                <w:sz w:val="20"/>
              </w:rPr>
              <w:t>Q2–Q3 structural opposition</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ρ = −0.75, 100% of individuals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Unidirectional Q2→Q3 flow</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AI = −0.92, cross-domain</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Viability-gated Q4B reseeding</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p = 3.9e−83, 20/20 participants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Q2–Q4 non-interchangeable functions</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#1 of 6 permutations, 92% gap, 4 domains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Wrong-mapping collapse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All 5 alternatives fail</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HMM independent convergence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Same binding recovered unsupervised</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Dual-memory dissociation</w:t>
            </w:r>
          </w:p>
        </w:tc>
        <w:tc>
          <w:tcPr>
            <w:tcW w:type="dxa" w:w="1728"/>
          </w:tcPr>
          <w:p>
            <w:pPr>
              <w:spacing w:after="20" w:before="20"/>
            </w:pPr>
            <w:r/>
            <w:r>
              <w:rPr>
                <w:rFonts w:ascii="Times New Roman" w:hAnsi="Times New Roman"/>
                <w:b w:val="0"/>
                <w:color w:val="000000"/>
                <w:sz w:val="20"/>
              </w:rPr>
              <w:t>Paper A</w:t>
            </w:r>
          </w:p>
        </w:tc>
        <w:tc>
          <w:tcPr>
            <w:tcW w:type="dxa" w:w="1728"/>
          </w:tcPr>
          <w:p>
            <w:pPr>
              <w:spacing w:after="20" w:before="20"/>
            </w:pPr>
            <w:r/>
            <w:r>
              <w:rPr>
                <w:rFonts w:ascii="Times New Roman" w:hAnsi="Times New Roman"/>
                <w:b w:val="0"/>
                <w:color w:val="000000"/>
                <w:sz w:val="20"/>
              </w:rPr>
              <w:t>Validated (sim.)</w:t>
            </w:r>
          </w:p>
        </w:tc>
        <w:tc>
          <w:tcPr>
            <w:tcW w:type="dxa" w:w="1728"/>
          </w:tcPr>
          <w:p>
            <w:pPr>
              <w:spacing w:after="20" w:before="20"/>
            </w:pPr>
            <w:r/>
            <w:r>
              <w:rPr>
                <w:rFonts w:ascii="Times New Roman" w:hAnsi="Times New Roman"/>
                <w:b w:val="0"/>
                <w:color w:val="000000"/>
                <w:sz w:val="20"/>
              </w:rPr>
              <w:t>Existence proof in simulation</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Cross-dataset dissociation</w:t>
            </w:r>
          </w:p>
        </w:tc>
        <w:tc>
          <w:tcPr>
            <w:tcW w:type="dxa" w:w="1728"/>
          </w:tcPr>
          <w:p>
            <w:pPr>
              <w:spacing w:after="20" w:before="20"/>
            </w:pPr>
            <w:r/>
            <w:r>
              <w:rPr>
                <w:rFonts w:ascii="Times New Roman" w:hAnsi="Times New Roman"/>
                <w:b w:val="0"/>
                <w:color w:val="000000"/>
                <w:sz w:val="20"/>
              </w:rPr>
              <w:t>Paper B</w:t>
            </w:r>
          </w:p>
        </w:tc>
        <w:tc>
          <w:tcPr>
            <w:tcW w:type="dxa" w:w="1728"/>
          </w:tcPr>
          <w:p>
            <w:pPr>
              <w:spacing w:after="20" w:before="20"/>
            </w:pPr>
            <w:r/>
            <w:r>
              <w:rPr>
                <w:rFonts w:ascii="Times New Roman" w:hAnsi="Times New Roman"/>
                <w:b w:val="0"/>
                <w:color w:val="000000"/>
                <w:sz w:val="20"/>
              </w:rPr>
              <w:t>Validated (emp.)</w:t>
            </w:r>
          </w:p>
        </w:tc>
        <w:tc>
          <w:tcPr>
            <w:tcW w:type="dxa" w:w="1728"/>
          </w:tcPr>
          <w:p>
            <w:pPr>
              <w:spacing w:after="20" w:before="20"/>
            </w:pPr>
            <w:r/>
            <w:r>
              <w:rPr>
                <w:rFonts w:ascii="Times New Roman" w:hAnsi="Times New Roman"/>
                <w:b w:val="0"/>
                <w:color w:val="000000"/>
                <w:sz w:val="20"/>
              </w:rPr>
              <w:t>Battery degradation data</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Depletion-gated reorientation</w:t>
            </w:r>
          </w:p>
        </w:tc>
        <w:tc>
          <w:tcPr>
            <w:tcW w:type="dxa" w:w="1728"/>
          </w:tcPr>
          <w:p>
            <w:pPr>
              <w:spacing w:after="20" w:before="20"/>
            </w:pPr>
            <w:r/>
            <w:r>
              <w:rPr>
                <w:rFonts w:ascii="Times New Roman" w:hAnsi="Times New Roman"/>
                <w:b w:val="0"/>
                <w:color w:val="000000"/>
                <w:sz w:val="20"/>
              </w:rPr>
              <w:t>Paper C</w:t>
            </w:r>
          </w:p>
        </w:tc>
        <w:tc>
          <w:tcPr>
            <w:tcW w:type="dxa" w:w="1728"/>
          </w:tcPr>
          <w:p>
            <w:pPr>
              <w:spacing w:after="20" w:before="20"/>
            </w:pPr>
            <w:r/>
            <w:r>
              <w:rPr>
                <w:rFonts w:ascii="Times New Roman" w:hAnsi="Times New Roman"/>
                <w:b w:val="0"/>
                <w:color w:val="000000"/>
                <w:sz w:val="20"/>
              </w:rPr>
              <w:t>Validated (scoped)</w:t>
            </w:r>
          </w:p>
        </w:tc>
        <w:tc>
          <w:tcPr>
            <w:tcW w:type="dxa" w:w="1728"/>
          </w:tcPr>
          <w:p>
            <w:pPr>
              <w:spacing w:after="20" w:before="20"/>
            </w:pPr>
            <w:r/>
            <w:r>
              <w:rPr>
                <w:rFonts w:ascii="Times New Roman" w:hAnsi="Times New Roman"/>
                <w:b w:val="0"/>
                <w:color w:val="000000"/>
                <w:sz w:val="20"/>
              </w:rPr>
              <w:t>Foraging mechanism</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Q1 internal orientation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process-tracing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Q4A deployment continuation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multi-stage tracking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EIL (interlocking loop)</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Theoretical, hard to measure</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Full 4-operator validation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Partial (3/4)</w:t>
            </w:r>
          </w:p>
        </w:tc>
        <w:tc>
          <w:tcPr>
            <w:tcW w:type="dxa" w:w="1728"/>
          </w:tcPr>
          <w:p>
            <w:pPr>
              <w:spacing w:after="20" w:before="20"/>
            </w:pPr>
            <w:r/>
            <w:r>
              <w:rPr>
                <w:rFonts w:ascii="Times New Roman" w:hAnsi="Times New Roman"/>
                <w:b w:val="0"/>
                <w:color w:val="000000"/>
                <w:sz w:val="20"/>
              </w:rPr>
              <w:t>B_in not independently tested</w:t>
            </w:r>
          </w:p>
        </w:tc>
        <w:tc>
          <w:tcPr>
            <w:tcW w:type="dxa" w:w="1728"/>
          </w:tcPr>
          <w:p>
            <w:pPr>
              <w:spacing w:after="20" w:before="20"/>
            </w:pPr>
            <w:r/>
            <w:r>
              <w:rPr>
                <w:rFonts w:ascii="Times New Roman" w:hAnsi="Times New Roman"/>
                <w:b w:val="0"/>
                <w:color w:val="000000"/>
                <w:sz w:val="20"/>
              </w:rPr>
              <w:t>Medium–Low</w:t>
            </w:r>
          </w:p>
        </w:tc>
      </w:tr>
      <w:tr>
        <w:tc>
          <w:tcPr>
            <w:tcW w:type="dxa" w:w="1728"/>
          </w:tcPr>
          <w:p>
            <w:pPr>
              <w:spacing w:after="20" w:before="20"/>
            </w:pPr>
            <w:r/>
            <w:r>
              <w:rPr>
                <w:rFonts w:ascii="Times New Roman" w:hAnsi="Times New Roman"/>
                <w:b w:val="0"/>
                <w:color w:val="000000"/>
                <w:sz w:val="20"/>
              </w:rPr>
              <w:t>Non-institutional generalization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tested</w:t>
            </w:r>
          </w:p>
        </w:tc>
        <w:tc>
          <w:tcPr>
            <w:tcW w:type="dxa" w:w="1728"/>
          </w:tcPr>
          <w:p>
            <w:pPr>
              <w:spacing w:after="20" w:before="20"/>
            </w:pPr>
            <w:r/>
            <w:r>
              <w:rPr>
                <w:rFonts w:ascii="Times New Roman" w:hAnsi="Times New Roman"/>
                <w:b w:val="0"/>
                <w:color w:val="000000"/>
                <w:sz w:val="20"/>
              </w:rPr>
              <w:t>Biological/ecological future work</w:t>
            </w:r>
          </w:p>
        </w:tc>
        <w:tc>
          <w:tcPr>
            <w:tcW w:type="dxa" w:w="1728"/>
          </w:tcPr>
          <w:p>
            <w:pPr>
              <w:spacing w:after="20" w:before="20"/>
            </w:pPr>
            <w:r/>
            <w:r>
              <w:rPr>
                <w:rFonts w:ascii="Times New Roman" w:hAnsi="Times New Roman"/>
                <w:b w:val="0"/>
                <w:color w:val="000000"/>
                <w:sz w:val="20"/>
              </w:rPr>
              <w:t>Open</w:t>
            </w:r>
          </w:p>
        </w:tc>
      </w:tr>
    </w:tbl>
    <w:p>
      <w:pPr>
        <w:spacing w:after="80" w:before="160"/>
      </w:pPr>
      <w:r>
        <w:rPr>
          <w:rFonts w:ascii="Times New Roman" w:hAnsi="Times New Roman"/>
          <w:b/>
          <w:i w:val="0"/>
          <w:color w:val="2F5496"/>
          <w:sz w:val="24"/>
        </w:rPr>
        <w:t>3.1 How Confidence Levels Are Assigned</w:t>
      </w:r>
    </w:p>
    <w:p>
      <w:pPr>
        <w:spacing w:after="60"/>
      </w:pPr>
      <w:r>
        <w:rPr>
          <w:rFonts w:ascii="Times New Roman" w:hAnsi="Times New Roman"/>
          <w:b w:val="0"/>
          <w:i w:val="0"/>
          <w:color w:val="000000"/>
          <w:sz w:val="22"/>
        </w:rPr>
        <w:t>Confidence levels in Table 1 are assigned according to the following criteria:</w:t>
      </w:r>
    </w:p>
    <w:p>
      <w:pPr>
        <w:spacing w:after="60"/>
      </w:pPr>
      <w:r>
        <w:rPr>
          <w:rFonts w:ascii="Times New Roman" w:hAnsi="Times New Roman"/>
          <w:b w:val="0"/>
          <w:i w:val="0"/>
          <w:color w:val="000000"/>
          <w:sz w:val="22"/>
        </w:rPr>
        <w:t>• High: Replicated across two or more independent domains with holdout validation and rival model defeat. The result survives permutation tests, confound controls, and cross-domain replication.</w:t>
      </w:r>
    </w:p>
    <w:p>
      <w:pPr>
        <w:spacing w:after="60"/>
      </w:pPr>
      <w:r>
        <w:rPr>
          <w:rFonts w:ascii="Times New Roman" w:hAnsi="Times New Roman"/>
          <w:b w:val="0"/>
          <w:i w:val="0"/>
          <w:color w:val="000000"/>
          <w:sz w:val="22"/>
        </w:rPr>
        <w:t>• Medium: Demonstrated in one domain or in simulation with robustness checks. The result is internally consistent and survives basic controls, but has not yet been independently replicated across domains.</w:t>
      </w:r>
    </w:p>
    <w:p>
      <w:pPr>
        <w:spacing w:after="60"/>
      </w:pPr>
      <w:r>
        <w:rPr>
          <w:rFonts w:ascii="Times New Roman" w:hAnsi="Times New Roman"/>
          <w:b w:val="0"/>
          <w:i w:val="0"/>
          <w:color w:val="000000"/>
          <w:sz w:val="22"/>
        </w:rPr>
        <w:t>• Low: Theoretically predicted by the TFP framework but not yet empirically tested, or tested only indirectly.</w:t>
      </w:r>
    </w:p>
    <w:p>
      <w:pPr>
        <w:spacing w:after="60"/>
      </w:pPr>
      <w:r>
        <w:rPr>
          <w:rFonts w:ascii="Times New Roman" w:hAnsi="Times New Roman"/>
          <w:b w:val="0"/>
          <w:i w:val="0"/>
          <w:color w:val="000000"/>
          <w:sz w:val="22"/>
        </w:rPr>
        <w:t>• Open: Identified as a testable prediction but no data have been collected. These represent future research directions rather than current claims.</w:t>
      </w:r>
    </w:p>
    <w:p>
      <w:pPr>
        <w:spacing w:after="120" w:before="240"/>
      </w:pPr>
      <w:r>
        <w:rPr>
          <w:rFonts w:ascii="Times New Roman" w:hAnsi="Times New Roman"/>
          <w:b/>
          <w:i w:val="0"/>
          <w:color w:val="2F5496"/>
          <w:sz w:val="28"/>
        </w:rPr>
        <w:t>4. The Canonical Invariant Hierarchy</w:t>
      </w:r>
    </w:p>
    <w:p>
      <w:pPr>
        <w:spacing w:after="60"/>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after="40" w:before="120"/>
      </w:pPr>
      <w:r>
        <w:rPr>
          <w:rFonts w:ascii="Times New Roman" w:hAnsi="Times New Roman"/>
          <w:b/>
          <w:i w:val="0"/>
          <w:color w:val="000000"/>
          <w:sz w:val="22"/>
        </w:rPr>
        <w:t>Level 1 (Strongest): Stage Non-Interchangeability and Transition Topology</w:t>
      </w:r>
    </w:p>
    <w:p>
      <w:pPr>
        <w:spacing w:after="60"/>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after="40" w:before="120"/>
      </w:pPr>
      <w:r>
        <w:rPr>
          <w:rFonts w:ascii="Times New Roman" w:hAnsi="Times New Roman"/>
          <w:b/>
          <w:i w:val="0"/>
          <w:color w:val="000000"/>
          <w:sz w:val="22"/>
        </w:rPr>
        <w:t>Level 2 (Strong): Viability-Gated Q4 Bifurcation and Reseeding Structure</w:t>
      </w:r>
    </w:p>
    <w:p>
      <w:pPr>
        <w:spacing w:after="60"/>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after="40" w:before="120"/>
      </w:pPr>
      <w:r>
        <w:rPr>
          <w:rFonts w:ascii="Times New Roman" w:hAnsi="Times New Roman"/>
          <w:b/>
          <w:i w:val="0"/>
          <w:color w:val="000000"/>
          <w:sz w:val="22"/>
        </w:rPr>
        <w:t>Level 3 (Supported): Stage-Specific Operator Binding</w:t>
      </w:r>
    </w:p>
    <w:p>
      <w:pPr>
        <w:spacing w:after="60"/>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after="40" w:before="120"/>
      </w:pPr>
      <w:r>
        <w:rPr>
          <w:rFonts w:ascii="Times New Roman" w:hAnsi="Times New Roman"/>
          <w:b/>
          <w:i w:val="0"/>
          <w:color w:val="000000"/>
          <w:sz w:val="22"/>
        </w:rPr>
        <w:t>Level 4 (Proposed): Full Grammar, EIL Dynamics, Cross-Scale Isomorphism</w:t>
      </w:r>
    </w:p>
    <w:p>
      <w:pPr>
        <w:spacing w:after="60"/>
      </w:pPr>
      <w:r>
        <w:rPr>
          <w:rFonts w:ascii="Times New Roman" w:hAnsi="Times New Roman"/>
          <w:b w:val="0"/>
          <w:i w:val="0"/>
          <w:color w:val="000000"/>
          <w:sz w:val="22"/>
        </w:rPr>
        <w:t>The complete four-operator grammar, the Energy Integration Loop (EIL) dynamics, and the prediction that the same lifecycle structure appears at micro, meso, and macro scales. These are theoretical predictions with limited or no direct empirical support to date.</w:t>
      </w:r>
    </w:p>
    <w:p>
      <w:pPr>
        <w:spacing w:after="120" w:before="240"/>
      </w:pPr>
      <w:r>
        <w:rPr>
          <w:rFonts w:ascii="Times New Roman" w:hAnsi="Times New Roman"/>
          <w:b/>
          <w:i w:val="0"/>
          <w:color w:val="2F5496"/>
          <w:sz w:val="28"/>
        </w:rPr>
        <w:t>5. Canonical Operational Definitions (v1.0)</w:t>
      </w:r>
    </w:p>
    <w:p>
      <w:pPr>
        <w:spacing w:after="60"/>
      </w:pPr>
      <w:r>
        <w:rPr>
          <w:rFonts w:ascii="Times New Roman" w:hAnsi="Times New Roman"/>
          <w:b w:val="0"/>
          <w:i w:val="0"/>
          <w:color w:val="000000"/>
          <w:sz w:val="22"/>
        </w:rPr>
        <w:t>Table 2 provides the canonical operational definitions used across all TFP papers. These definitions represent version 1.0 of the measurement framework. Three of four operators (E_out, E_in, B_out) have been validated across multiple institutional domains; B_in has not been independently tested. Future revisions would require explicit justification and versioning.</w:t>
      </w:r>
    </w:p>
    <w:p>
      <w:pPr>
        <w:spacing w:after="80"/>
      </w:pPr>
      <w:r>
        <w:rPr>
          <w:rFonts w:ascii="Times New Roman" w:hAnsi="Times New Roman"/>
          <w:b/>
          <w:i/>
          <w:color w:val="000000"/>
          <w:sz w:val="20"/>
        </w:rPr>
        <w:t>Table 2. TFP Information Operators (v1.0)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Operator</w:t>
            </w:r>
          </w:p>
        </w:tc>
        <w:tc>
          <w:tcPr>
            <w:tcW w:type="dxa" w:w="1728"/>
            <w:shd w:fill="D9E2F3" w:val="clear"/>
          </w:tcPr>
          <w:p>
            <w:pPr>
              <w:spacing w:after="20" w:before="20"/>
            </w:pPr>
            <w:r/>
            <w:r>
              <w:rPr>
                <w:rFonts w:ascii="Times New Roman" w:hAnsi="Times New Roman"/>
                <w:b/>
                <w:color w:val="000000"/>
                <w:sz w:val="20"/>
              </w:rPr>
              <w:t>Symbol</w:t>
            </w:r>
          </w:p>
        </w:tc>
        <w:tc>
          <w:tcPr>
            <w:tcW w:type="dxa" w:w="1728"/>
            <w:shd w:fill="D9E2F3" w:val="clear"/>
          </w:tcPr>
          <w:p>
            <w:pPr>
              <w:spacing w:after="20" w:before="20"/>
            </w:pPr>
            <w:r/>
            <w:r>
              <w:rPr>
                <w:rFonts w:ascii="Times New Roman" w:hAnsi="Times New Roman"/>
                <w:b/>
                <w:color w:val="000000"/>
                <w:sz w:val="20"/>
              </w:rPr>
              <w:t>Definition</w:t>
            </w:r>
          </w:p>
        </w:tc>
        <w:tc>
          <w:tcPr>
            <w:tcW w:type="dxa" w:w="1728"/>
            <w:shd w:fill="D9E2F3" w:val="clear"/>
          </w:tcPr>
          <w:p>
            <w:pPr>
              <w:spacing w:after="20" w:before="20"/>
            </w:pPr>
            <w:r/>
            <w:r>
              <w:rPr>
                <w:rFonts w:ascii="Times New Roman" w:hAnsi="Times New Roman"/>
                <w:b/>
                <w:color w:val="000000"/>
                <w:sz w:val="20"/>
              </w:rPr>
              <w:t>Measurable As</w:t>
            </w:r>
          </w:p>
        </w:tc>
        <w:tc>
          <w:tcPr>
            <w:tcW w:type="dxa" w:w="1728"/>
            <w:shd w:fill="D9E2F3" w:val="clear"/>
          </w:tcPr>
          <w:p>
            <w:pPr>
              <w:spacing w:after="20" w:before="20"/>
            </w:pPr>
            <w:r/>
            <w:r>
              <w:rPr>
                <w:rFonts w:ascii="Times New Roman" w:hAnsi="Times New Roman"/>
                <w:b/>
                <w:color w:val="000000"/>
                <w:sz w:val="20"/>
              </w:rPr>
              <w:t>Validation Status</w:t>
            </w:r>
          </w:p>
        </w:tc>
      </w:tr>
      <w:tr>
        <w:tc>
          <w:tcPr>
            <w:tcW w:type="dxa" w:w="1728"/>
          </w:tcPr>
          <w:p>
            <w:pPr>
              <w:spacing w:after="20" w:before="20"/>
            </w:pPr>
            <w:r/>
            <w:r>
              <w:rPr>
                <w:rFonts w:ascii="Times New Roman" w:hAnsi="Times New Roman"/>
                <w:b w:val="0"/>
                <w:color w:val="000000"/>
                <w:sz w:val="20"/>
              </w:rPr>
              <w:t>B_in</w:t>
            </w:r>
          </w:p>
        </w:tc>
        <w:tc>
          <w:tcPr>
            <w:tcW w:type="dxa" w:w="1728"/>
          </w:tcPr>
          <w:p>
            <w:pPr>
              <w:spacing w:after="20" w:before="20"/>
            </w:pPr>
            <w:r/>
            <w:r>
              <w:rPr>
                <w:rFonts w:ascii="Times New Roman" w:hAnsi="Times New Roman"/>
                <w:b w:val="0"/>
                <w:color w:val="000000"/>
                <w:sz w:val="20"/>
              </w:rPr>
              <w:t>Di</w:t>
            </w:r>
          </w:p>
        </w:tc>
        <w:tc>
          <w:tcPr>
            <w:tcW w:type="dxa" w:w="1728"/>
          </w:tcPr>
          <w:p>
            <w:pPr>
              <w:spacing w:after="20" w:before="20"/>
            </w:pPr>
            <w:r/>
            <w:r>
              <w:rPr>
                <w:rFonts w:ascii="Times New Roman" w:hAnsi="Times New Roman"/>
                <w:b w:val="0"/>
                <w:color w:val="000000"/>
                <w:sz w:val="20"/>
              </w:rPr>
              <w:t>Sticky internal reference resistant to change</w:t>
            </w:r>
          </w:p>
        </w:tc>
        <w:tc>
          <w:tcPr>
            <w:tcW w:type="dxa" w:w="1728"/>
          </w:tcPr>
          <w:p>
            <w:pPr>
              <w:spacing w:after="20" w:before="20"/>
            </w:pPr>
            <w:r/>
            <w:r>
              <w:rPr>
                <w:rFonts w:ascii="Times New Roman" w:hAnsi="Times New Roman"/>
                <w:b w:val="0"/>
                <w:color w:val="000000"/>
                <w:sz w:val="20"/>
              </w:rPr>
              <w:t>Revision rate decline, protocol stability, self-citation persistence</w:t>
            </w:r>
          </w:p>
        </w:tc>
        <w:tc>
          <w:tcPr>
            <w:tcW w:type="dxa" w:w="1728"/>
          </w:tcPr>
          <w:p>
            <w:pPr>
              <w:spacing w:after="20" w:before="20"/>
            </w:pPr>
            <w:r/>
            <w:r>
              <w:rPr>
                <w:rFonts w:ascii="Times New Roman" w:hAnsi="Times New Roman"/>
                <w:b w:val="0"/>
                <w:color w:val="000000"/>
                <w:sz w:val="20"/>
              </w:rPr>
              <w:t>Not independently tested</w:t>
            </w:r>
          </w:p>
        </w:tc>
      </w:tr>
      <w:tr>
        <w:tc>
          <w:tcPr>
            <w:tcW w:type="dxa" w:w="1728"/>
          </w:tcPr>
          <w:p>
            <w:pPr>
              <w:spacing w:after="20" w:before="20"/>
            </w:pPr>
            <w:r/>
            <w:r>
              <w:rPr>
                <w:rFonts w:ascii="Times New Roman" w:hAnsi="Times New Roman"/>
                <w:b w:val="0"/>
                <w:color w:val="000000"/>
                <w:sz w:val="20"/>
              </w:rPr>
              <w:t>E_out</w:t>
            </w:r>
          </w:p>
        </w:tc>
        <w:tc>
          <w:tcPr>
            <w:tcW w:type="dxa" w:w="1728"/>
          </w:tcPr>
          <w:p>
            <w:pPr>
              <w:spacing w:after="20" w:before="20"/>
            </w:pPr>
            <w:r/>
            <w:r>
              <w:rPr>
                <w:rFonts w:ascii="Times New Roman" w:hAnsi="Times New Roman"/>
                <w:b w:val="0"/>
                <w:color w:val="000000"/>
                <w:sz w:val="20"/>
              </w:rPr>
              <w:t>Oe</w:t>
            </w:r>
          </w:p>
        </w:tc>
        <w:tc>
          <w:tcPr>
            <w:tcW w:type="dxa" w:w="1728"/>
          </w:tcPr>
          <w:p>
            <w:pPr>
              <w:spacing w:after="20" w:before="20"/>
            </w:pPr>
            <w:r/>
            <w:r>
              <w:rPr>
                <w:rFonts w:ascii="Times New Roman" w:hAnsi="Times New Roman"/>
                <w:b w:val="0"/>
                <w:color w:val="000000"/>
                <w:sz w:val="20"/>
              </w:rPr>
              <w:t>Broad scanning, channel-changing, gathering novelty</w:t>
            </w:r>
          </w:p>
        </w:tc>
        <w:tc>
          <w:tcPr>
            <w:tcW w:type="dxa" w:w="1728"/>
          </w:tcPr>
          <w:p>
            <w:pPr>
              <w:spacing w:after="20" w:before="20"/>
            </w:pPr>
            <w:r/>
            <w:r>
              <w:rPr>
                <w:rFonts w:ascii="Times New Roman" w:hAnsi="Times New Roman"/>
                <w:b w:val="0"/>
                <w:color w:val="000000"/>
                <w:sz w:val="20"/>
              </w:rPr>
              <w:t>Cross-references, collaborator count, comment volume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E_in</w:t>
            </w:r>
          </w:p>
        </w:tc>
        <w:tc>
          <w:tcPr>
            <w:tcW w:type="dxa" w:w="1728"/>
          </w:tcPr>
          <w:p>
            <w:pPr>
              <w:spacing w:after="20" w:before="20"/>
            </w:pPr>
            <w:r/>
            <w:r>
              <w:rPr>
                <w:rFonts w:ascii="Times New Roman" w:hAnsi="Times New Roman"/>
                <w:b w:val="0"/>
                <w:color w:val="000000"/>
                <w:sz w:val="20"/>
              </w:rPr>
              <w:t>Oi</w:t>
            </w:r>
          </w:p>
        </w:tc>
        <w:tc>
          <w:tcPr>
            <w:tcW w:type="dxa" w:w="1728"/>
          </w:tcPr>
          <w:p>
            <w:pPr>
              <w:spacing w:after="20" w:before="20"/>
            </w:pPr>
            <w:r/>
            <w:r>
              <w:rPr>
                <w:rFonts w:ascii="Times New Roman" w:hAnsi="Times New Roman"/>
                <w:b w:val="0"/>
                <w:color w:val="000000"/>
                <w:sz w:val="20"/>
              </w:rPr>
              <w:t>Concluding, eliminating options, reducing candidates</w:t>
            </w:r>
          </w:p>
        </w:tc>
        <w:tc>
          <w:tcPr>
            <w:tcW w:type="dxa" w:w="1728"/>
          </w:tcPr>
          <w:p>
            <w:pPr>
              <w:spacing w:after="20" w:before="20"/>
            </w:pPr>
            <w:r/>
            <w:r>
              <w:rPr>
                <w:rFonts w:ascii="Times New Roman" w:hAnsi="Times New Roman"/>
                <w:b w:val="0"/>
                <w:color w:val="000000"/>
                <w:sz w:val="20"/>
              </w:rPr>
              <w:t>Text diff magnitude, outcome count, coupling rate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B_out</w:t>
            </w:r>
          </w:p>
        </w:tc>
        <w:tc>
          <w:tcPr>
            <w:tcW w:type="dxa" w:w="1728"/>
          </w:tcPr>
          <w:p>
            <w:pPr>
              <w:spacing w:after="20" w:before="20"/>
            </w:pPr>
            <w:r/>
            <w:r>
              <w:rPr>
                <w:rFonts w:ascii="Times New Roman" w:hAnsi="Times New Roman"/>
                <w:b w:val="0"/>
                <w:color w:val="000000"/>
                <w:sz w:val="20"/>
              </w:rPr>
              <w:t>De</w:t>
            </w:r>
          </w:p>
        </w:tc>
        <w:tc>
          <w:tcPr>
            <w:tcW w:type="dxa" w:w="1728"/>
          </w:tcPr>
          <w:p>
            <w:pPr>
              <w:spacing w:after="20" w:before="20"/>
            </w:pPr>
            <w:r/>
            <w:r>
              <w:rPr>
                <w:rFonts w:ascii="Times New Roman" w:hAnsi="Times New Roman"/>
                <w:b w:val="0"/>
                <w:color w:val="000000"/>
                <w:sz w:val="20"/>
              </w:rPr>
              <w:t>Persistent global write, difficult to reverse</w:t>
            </w:r>
          </w:p>
        </w:tc>
        <w:tc>
          <w:tcPr>
            <w:tcW w:type="dxa" w:w="1728"/>
          </w:tcPr>
          <w:p>
            <w:pPr>
              <w:spacing w:after="20" w:before="20"/>
            </w:pPr>
            <w:r/>
            <w:r>
              <w:rPr>
                <w:rFonts w:ascii="Times New Roman" w:hAnsi="Times New Roman"/>
                <w:b w:val="0"/>
                <w:color w:val="000000"/>
                <w:sz w:val="20"/>
              </w:rPr>
              <w:t>Publication, grant, results posting, effective date</w:t>
            </w:r>
          </w:p>
        </w:tc>
        <w:tc>
          <w:tcPr>
            <w:tcW w:type="dxa" w:w="1728"/>
          </w:tcPr>
          <w:p>
            <w:pPr>
              <w:spacing w:after="20" w:before="20"/>
            </w:pPr>
            <w:r/>
            <w:r>
              <w:rPr>
                <w:rFonts w:ascii="Times New Roman" w:hAnsi="Times New Roman"/>
                <w:b w:val="0"/>
                <w:color w:val="000000"/>
                <w:sz w:val="20"/>
              </w:rPr>
              <w:t>Validated (4 domains)</w:t>
            </w:r>
          </w:p>
        </w:tc>
      </w:tr>
    </w:tbl>
    <w:p>
      <w:pPr>
        <w:spacing w:after="120" w:before="240"/>
      </w:pPr>
      <w:r>
        <w:rPr>
          <w:rFonts w:ascii="Times New Roman" w:hAnsi="Times New Roman"/>
          <w:b/>
          <w:i w:val="0"/>
          <w:color w:val="2F5496"/>
          <w:sz w:val="28"/>
        </w:rPr>
        <w:t>6. How to Test TFP on a New Domain</w:t>
      </w:r>
    </w:p>
    <w:p>
      <w:pPr>
        <w:spacing w:after="60"/>
      </w:pPr>
      <w:r>
        <w:rPr>
          <w:rFonts w:ascii="Times New Roman" w:hAnsi="Times New Roman"/>
          <w:b w:val="0"/>
          <w:i w:val="0"/>
          <w:color w:val="000000"/>
          <w:sz w:val="22"/>
        </w:rPr>
        <w:t>This section provides step-by-step guidance for researchers who wish to test TFP predictions on a new lifecycle dataset.</w:t>
      </w:r>
    </w:p>
    <w:p>
      <w:pPr>
        <w:spacing w:after="80" w:before="160"/>
      </w:pPr>
      <w:r>
        <w:rPr>
          <w:rFonts w:ascii="Times New Roman" w:hAnsi="Times New Roman"/>
          <w:b/>
          <w:i w:val="0"/>
          <w:color w:val="2F5496"/>
          <w:sz w:val="24"/>
        </w:rPr>
        <w:t>6.1 Prerequisites</w:t>
      </w:r>
    </w:p>
    <w:p>
      <w:pPr>
        <w:spacing w:after="60"/>
      </w:pPr>
      <w:r>
        <w:rPr>
          <w:rFonts w:ascii="Times New Roman" w:hAnsi="Times New Roman"/>
          <w:b w:val="0"/>
          <w:i w:val="0"/>
          <w:color w:val="000000"/>
          <w:sz w:val="22"/>
        </w:rPr>
        <w:t>Before beginning a TFP test, verify that your data meets the following minimum requirements:</w:t>
      </w:r>
    </w:p>
    <w:p>
      <w:pPr>
        <w:spacing w:after="60"/>
      </w:pPr>
      <w:r>
        <w:rPr>
          <w:rFonts w:ascii="Times New Roman" w:hAnsi="Times New Roman"/>
          <w:b w:val="0"/>
          <w:i w:val="0"/>
          <w:color w:val="000000"/>
          <w:sz w:val="22"/>
        </w:rPr>
        <w:t>• Timestamped lifecycle data with three or more discrete, temporally ordered stages.</w:t>
      </w:r>
    </w:p>
    <w:p>
      <w:pPr>
        <w:spacing w:after="60"/>
      </w:pPr>
      <w:r>
        <w:rPr>
          <w:rFonts w:ascii="Times New Roman" w:hAnsi="Times New Roman"/>
          <w:b w:val="0"/>
          <w:i w:val="0"/>
          <w:color w:val="000000"/>
          <w:sz w:val="22"/>
        </w:rPr>
        <w:t>• At least one measurable proxy for each operator you intend to test (see Table 2). At minimum, an external coupling metric (e.g., cross-references, external collaborators, incoming citations) is required for the entry-level screening check.</w:t>
      </w:r>
    </w:p>
    <w:p>
      <w:pPr>
        <w:spacing w:after="60"/>
      </w:pPr>
      <w:r>
        <w:rPr>
          <w:rFonts w:ascii="Times New Roman" w:hAnsi="Times New Roman"/>
          <w:b w:val="0"/>
          <w:i w:val="0"/>
          <w:color w:val="000000"/>
          <w:sz w:val="22"/>
        </w:rPr>
        <w:t>• A sample size sufficient for permutation testing. As a rough guideline, 50+ lifecycle instances provide adequate power for the permutation search; smaller samples can be used for exploratory analysis but limit statistical conclusions.</w:t>
      </w:r>
    </w:p>
    <w:p>
      <w:pPr>
        <w:spacing w:after="60"/>
      </w:pPr>
      <w:r>
        <w:rPr>
          <w:rFonts w:ascii="Times New Roman" w:hAnsi="Times New Roman"/>
          <w:b w:val="0"/>
          <w:i w:val="0"/>
          <w:color w:val="000000"/>
          <w:sz w:val="22"/>
        </w:rPr>
        <w:t>• Stage boundaries defined independently of TFP predictions (i.e., based on institutional rules, natural transitions, or domain conventions rather than post hoc optimization).</w:t>
      </w:r>
    </w:p>
    <w:p>
      <w:pPr>
        <w:spacing w:after="80" w:before="160"/>
      </w:pPr>
      <w:r>
        <w:rPr>
          <w:rFonts w:ascii="Times New Roman" w:hAnsi="Times New Roman"/>
          <w:b/>
          <w:i w:val="0"/>
          <w:color w:val="2F5496"/>
          <w:sz w:val="24"/>
        </w:rPr>
        <w:t>6.2 Expected Time Investment</w:t>
      </w:r>
    </w:p>
    <w:p>
      <w:pPr>
        <w:spacing w:after="60"/>
      </w:pPr>
      <w:r>
        <w:rPr>
          <w:rFonts w:ascii="Times New Roman" w:hAnsi="Times New Roman"/>
          <w:b w:val="0"/>
          <w:i w:val="0"/>
          <w:color w:val="000000"/>
          <w:sz w:val="22"/>
        </w:rPr>
        <w:t>• Minimum viable test (Section 6.4): 1–2 days, assuming data are already in tabular form with stage labels and at least one operator proxy.</w:t>
      </w:r>
    </w:p>
    <w:p>
      <w:pPr>
        <w:spacing w:after="60"/>
      </w:pPr>
      <w:r>
        <w:rPr>
          <w:rFonts w:ascii="Times New Roman" w:hAnsi="Times New Roman"/>
          <w:b w:val="0"/>
          <w:i w:val="0"/>
          <w:color w:val="000000"/>
          <w:sz w:val="22"/>
        </w:rPr>
        <w:t>• Full test protocol (Section 6.3): 1–2 weeks, including data preparation, operator measurement, permutation search, holdout validation, and write-up.</w:t>
      </w:r>
    </w:p>
    <w:p>
      <w:pPr>
        <w:spacing w:after="80" w:before="160"/>
      </w:pPr>
      <w:r>
        <w:rPr>
          <w:rFonts w:ascii="Times New Roman" w:hAnsi="Times New Roman"/>
          <w:b/>
          <w:i w:val="0"/>
          <w:color w:val="2F5496"/>
          <w:sz w:val="24"/>
        </w:rPr>
        <w:t>6.3 Full Test Protocol</w:t>
      </w:r>
    </w:p>
    <w:p>
      <w:pPr>
        <w:spacing w:after="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 What failure looks like: if the system lacks discrete stages or temporal ordering, TFP predictions do not apply.</w:t>
      </w:r>
    </w:p>
    <w:p>
      <w:pPr>
        <w:spacing w:after="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preparation before external engagement; Q2 = external gathering and evaluation; Q3 = internal narrowing and convergence; Q4 = external commitment and deployment. What failure looks like: if stages cannot be mapped to quadrants without ambiguity, document the mapping rationale and consider whether the system may lack the structure TFP predicts.</w:t>
      </w:r>
    </w:p>
    <w:p>
      <w:pPr>
        <w:spacing w:after="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 What failure looks like: if operator proxies cannot be measured independently, the test is inconclusive rather than negative.</w:t>
      </w:r>
    </w:p>
    <w:p>
      <w:pPr>
        <w:spacing w:after="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 What failure looks like: TFP's predicted assignment is not ranked #1, or is not statistically distinguishable from alternatives.</w:t>
      </w:r>
    </w:p>
    <w:p>
      <w:pPr>
        <w:spacing w:after="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 What failure looks like: the signal survives stage shuffling, suggesting the result is an artifact of the metric rather than stage-specific structure.</w:t>
      </w:r>
    </w:p>
    <w:p>
      <w:pPr>
        <w:spacing w:after="60"/>
      </w:pPr>
      <w:r>
        <w:rPr>
          <w:rFonts w:ascii="Times New Roman" w:hAnsi="Times New Roman"/>
          <w:b w:val="0"/>
          <w:i w:val="0"/>
          <w:color w:val="000000"/>
          <w:sz w:val="22"/>
        </w:rPr>
        <w:t>6. Run holdout validation. Split data temporally or by subsample. TFP predicts that results will replicate on held-out data. What failure looks like: the training result does not replicate in the holdout sample.</w:t>
      </w:r>
    </w:p>
    <w:p>
      <w:pPr>
        <w:spacing w:after="60"/>
      </w:pPr>
      <w:r>
        <w:rPr>
          <w:rFonts w:ascii="Times New Roman" w:hAnsi="Times New Roman"/>
          <w:b w:val="0"/>
          <w:i w:val="0"/>
          <w:color w:val="000000"/>
          <w:sz w:val="22"/>
        </w:rPr>
        <w:t>7. Report honestly, including negative results. A domain where TFP predictions fail is as informative as one where they succeed. Negative results help map TFP's boundary conditions.</w:t>
      </w:r>
    </w:p>
    <w:p>
      <w:pPr>
        <w:spacing w:after="80" w:before="160"/>
      </w:pPr>
      <w:r>
        <w:rPr>
          <w:rFonts w:ascii="Times New Roman" w:hAnsi="Times New Roman"/>
          <w:b/>
          <w:i w:val="0"/>
          <w:color w:val="2F5496"/>
          <w:sz w:val="24"/>
        </w:rPr>
        <w:t>6.4 Entry-Level Screening Check</w:t>
      </w:r>
    </w:p>
    <w:p>
      <w:pPr>
        <w:spacing w:after="60"/>
      </w:pPr>
      <w:r>
        <w:rPr>
          <w:rFonts w:ascii="Times New Roman" w:hAnsi="Times New Roman"/>
          <w:b w:val="0"/>
          <w:i w:val="0"/>
          <w:color w:val="000000"/>
          <w:sz w:val="22"/>
        </w:rPr>
        <w:t>For researchers who want a preliminary screening check to determine whether a fuller benchmark run is warranted before committing to the full protocol: 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after="80" w:before="160"/>
      </w:pPr>
      <w:r>
        <w:rPr>
          <w:rFonts w:ascii="Times New Roman" w:hAnsi="Times New Roman"/>
          <w:b/>
          <w:i w:val="0"/>
          <w:color w:val="2F5496"/>
          <w:sz w:val="24"/>
        </w:rPr>
        <w:t>6.5 Worked Example</w:t>
      </w:r>
    </w:p>
    <w:p>
      <w:pPr>
        <w:spacing w:after="60"/>
      </w:pPr>
      <w:r>
        <w:rPr>
          <w:rFonts w:ascii="Times New Roman" w:hAnsi="Times New Roman"/>
          <w:b w:val="0"/>
          <w:i w:val="0"/>
          <w:color w:val="000000"/>
          <w:sz w:val="22"/>
        </w:rPr>
        <w:t>For example, in a software release cycle with stages Draft → Review → Release Candidate → Stable Release:</w:t>
      </w:r>
    </w:p>
    <w:p>
      <w:pPr>
        <w:spacing w:after="60"/>
      </w:pPr>
      <w:r>
        <w:rPr>
          <w:rFonts w:ascii="Times New Roman" w:hAnsi="Times New Roman"/>
          <w:b w:val="0"/>
          <w:i w:val="0"/>
          <w:color w:val="000000"/>
          <w:sz w:val="22"/>
        </w:rPr>
        <w:t>• Map stages: Draft = Q1 (internal preparation), Review = Q2 (external feedback gathering), Release Candidate = Q3 (narrowing, bug triage), Stable Release = Q4 (irreversible public commitment).</w:t>
      </w:r>
    </w:p>
    <w:p>
      <w:pPr>
        <w:spacing w:after="60"/>
      </w:pPr>
      <w:r>
        <w:rPr>
          <w:rFonts w:ascii="Times New Roman" w:hAnsi="Times New Roman"/>
          <w:b w:val="0"/>
          <w:i w:val="0"/>
          <w:color w:val="000000"/>
          <w:sz w:val="22"/>
        </w:rPr>
        <w:t>• Measure operators: For E_out at the Review stage, count the number of unique external reviewers, cross-project references, and community comments per release. For E_in at the Release Candidate stage, measure the rate of bug closure, feature freeze enforcement, and candidate elimination.</w:t>
      </w:r>
    </w:p>
    <w:p>
      <w:pPr>
        <w:spacing w:after="60"/>
      </w:pPr>
      <w:r>
        <w:rPr>
          <w:rFonts w:ascii="Times New Roman" w:hAnsi="Times New Roman"/>
          <w:b w:val="0"/>
          <w:i w:val="0"/>
          <w:color w:val="000000"/>
          <w:sz w:val="22"/>
        </w:rPr>
        <w:t>• Permutation search: Compute the composite fit for all 24 operator–stage assignments. TFP predicts that {Q1: B_in, Q2: E_out, Q3: E_in, Q4: B_out} ranks #1.</w:t>
      </w:r>
    </w:p>
    <w:p>
      <w:pPr>
        <w:spacing w:after="60"/>
      </w:pPr>
      <w:r>
        <w:rPr>
          <w:rFonts w:ascii="Times New Roman" w:hAnsi="Times New Roman"/>
          <w:b w:val="0"/>
          <w:i w:val="0"/>
          <w:color w:val="000000"/>
          <w:sz w:val="22"/>
        </w:rPr>
        <w:t>• Failure scenario: If external reviewer count peaks during the Release Candidate stage rather than Review, the Q2–E_out binding prediction fails for this domain.</w:t>
      </w:r>
    </w:p>
    <w:p>
      <w:pPr>
        <w:spacing w:after="120" w:before="240"/>
      </w:pPr>
      <w:r>
        <w:rPr>
          <w:rFonts w:ascii="Times New Roman" w:hAnsi="Times New Roman"/>
          <w:b/>
          <w:i w:val="0"/>
          <w:color w:val="2F5496"/>
          <w:sz w:val="28"/>
        </w:rPr>
        <w:t>7. Benchmark Tasks and Rival Models</w:t>
      </w:r>
    </w:p>
    <w:p>
      <w:pPr>
        <w:spacing w:after="60"/>
      </w:pPr>
      <w:r>
        <w:rPr>
          <w:rFonts w:ascii="Times New Roman" w:hAnsi="Times New Roman"/>
          <w:b w:val="0"/>
          <w:i w:val="0"/>
          <w:color w:val="000000"/>
          <w:sz w:val="22"/>
        </w:rPr>
        <w:t>Table 3 specifies the benchmark tasks that a TFP validation study should include, along with rival models, kill criteria, minimum data requirements, and estimated difficulty. These benchmarks form a canonical evaluation framework: researchers testing TFP in any domain should report results against these tasks to enable cross-study comparison.</w:t>
      </w:r>
    </w:p>
    <w:p>
      <w:pPr>
        <w:spacing w:after="80"/>
      </w:pPr>
      <w:r>
        <w:rPr>
          <w:rFonts w:ascii="Times New Roman" w:hAnsi="Times New Roman"/>
          <w:b/>
          <w:i/>
          <w:color w:val="000000"/>
          <w:sz w:val="20"/>
        </w:rPr>
        <w:t>Table 3. Benchmark Tasks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shd w:fill="D9E2F3" w:val="clear"/>
          </w:tcPr>
          <w:p>
            <w:pPr>
              <w:spacing w:after="20" w:before="20"/>
            </w:pPr>
            <w:r/>
            <w:r>
              <w:rPr>
                <w:rFonts w:ascii="Times New Roman" w:hAnsi="Times New Roman"/>
                <w:b/>
                <w:color w:val="000000"/>
                <w:sz w:val="20"/>
              </w:rPr>
              <w:t>Benchmark</w:t>
            </w:r>
          </w:p>
        </w:tc>
        <w:tc>
          <w:tcPr>
            <w:tcW w:type="dxa" w:w="1440"/>
            <w:shd w:fill="D9E2F3" w:val="clear"/>
          </w:tcPr>
          <w:p>
            <w:pPr>
              <w:spacing w:after="20" w:before="20"/>
            </w:pPr>
            <w:r/>
            <w:r>
              <w:rPr>
                <w:rFonts w:ascii="Times New Roman" w:hAnsi="Times New Roman"/>
                <w:b/>
                <w:color w:val="000000"/>
                <w:sz w:val="20"/>
              </w:rPr>
              <w:t>What It Tests</w:t>
            </w:r>
          </w:p>
        </w:tc>
        <w:tc>
          <w:tcPr>
            <w:tcW w:type="dxa" w:w="1440"/>
            <w:shd w:fill="D9E2F3" w:val="clear"/>
          </w:tcPr>
          <w:p>
            <w:pPr>
              <w:spacing w:after="20" w:before="20"/>
            </w:pPr>
            <w:r/>
            <w:r>
              <w:rPr>
                <w:rFonts w:ascii="Times New Roman" w:hAnsi="Times New Roman"/>
                <w:b/>
                <w:color w:val="000000"/>
                <w:sz w:val="20"/>
              </w:rPr>
              <w:t>Rival Models</w:t>
            </w:r>
          </w:p>
        </w:tc>
        <w:tc>
          <w:tcPr>
            <w:tcW w:type="dxa" w:w="1440"/>
            <w:shd w:fill="D9E2F3" w:val="clear"/>
          </w:tcPr>
          <w:p>
            <w:pPr>
              <w:spacing w:after="20" w:before="20"/>
            </w:pPr>
            <w:r/>
            <w:r>
              <w:rPr>
                <w:rFonts w:ascii="Times New Roman" w:hAnsi="Times New Roman"/>
                <w:b/>
                <w:color w:val="000000"/>
                <w:sz w:val="20"/>
              </w:rPr>
              <w:t>Kill Criteria</w:t>
            </w:r>
          </w:p>
        </w:tc>
        <w:tc>
          <w:tcPr>
            <w:tcW w:type="dxa" w:w="1440"/>
            <w:shd w:fill="D9E2F3" w:val="clear"/>
          </w:tcPr>
          <w:p>
            <w:pPr>
              <w:spacing w:after="20" w:before="20"/>
            </w:pPr>
            <w:r/>
            <w:r>
              <w:rPr>
                <w:rFonts w:ascii="Times New Roman" w:hAnsi="Times New Roman"/>
                <w:b/>
                <w:color w:val="000000"/>
                <w:sz w:val="20"/>
              </w:rPr>
              <w:t>Min. Data</w:t>
            </w:r>
          </w:p>
        </w:tc>
        <w:tc>
          <w:tcPr>
            <w:tcW w:type="dxa" w:w="1440"/>
            <w:shd w:fill="D9E2F3" w:val="clear"/>
          </w:tcPr>
          <w:p>
            <w:pPr>
              <w:spacing w:after="20" w:before="20"/>
            </w:pPr>
            <w:r/>
            <w:r>
              <w:rPr>
                <w:rFonts w:ascii="Times New Roman" w:hAnsi="Times New Roman"/>
                <w:b/>
                <w:color w:val="000000"/>
                <w:sz w:val="20"/>
              </w:rPr>
              <w:t>Difficulty</w:t>
            </w:r>
          </w:p>
        </w:tc>
      </w:tr>
      <w:tr>
        <w:tc>
          <w:tcPr>
            <w:tcW w:type="dxa" w:w="1440"/>
          </w:tcPr>
          <w:p>
            <w:pPr>
              <w:spacing w:after="20" w:before="20"/>
            </w:pPr>
            <w:r/>
            <w:r>
              <w:rPr>
                <w:rFonts w:ascii="Times New Roman" w:hAnsi="Times New Roman"/>
                <w:b w:val="0"/>
                <w:color w:val="000000"/>
                <w:sz w:val="20"/>
              </w:rPr>
              <w:t>Permutation mapping search</w:t>
            </w:r>
          </w:p>
        </w:tc>
        <w:tc>
          <w:tcPr>
            <w:tcW w:type="dxa" w:w="1440"/>
          </w:tcPr>
          <w:p>
            <w:pPr>
              <w:spacing w:after="20" w:before="20"/>
            </w:pPr>
            <w:r/>
            <w:r>
              <w:rPr>
                <w:rFonts w:ascii="Times New Roman" w:hAnsi="Times New Roman"/>
                <w:b w:val="0"/>
                <w:color w:val="000000"/>
                <w:sz w:val="20"/>
              </w:rPr>
              <w:t>Non-interchangeability</w:t>
            </w:r>
          </w:p>
        </w:tc>
        <w:tc>
          <w:tcPr>
            <w:tcW w:type="dxa" w:w="1440"/>
          </w:tcPr>
          <w:p>
            <w:pPr>
              <w:spacing w:after="20" w:before="20"/>
            </w:pPr>
            <w:r/>
            <w:r>
              <w:rPr>
                <w:rFonts w:ascii="Times New Roman" w:hAnsi="Times New Roman"/>
                <w:b w:val="0"/>
                <w:color w:val="000000"/>
                <w:sz w:val="20"/>
              </w:rPr>
              <w:t>All 3!/4! alternative assignments</w:t>
            </w:r>
          </w:p>
        </w:tc>
        <w:tc>
          <w:tcPr>
            <w:tcW w:type="dxa" w:w="1440"/>
          </w:tcPr>
          <w:p>
            <w:pPr>
              <w:spacing w:after="20" w:before="20"/>
            </w:pPr>
            <w:r/>
            <w:r>
              <w:rPr>
                <w:rFonts w:ascii="Times New Roman" w:hAnsi="Times New Roman"/>
                <w:b w:val="0"/>
                <w:color w:val="000000"/>
                <w:sz w:val="20"/>
              </w:rPr>
              <w:t>TFP assignment not ranked #1</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Wrong-stage permutation</w:t>
            </w:r>
          </w:p>
        </w:tc>
        <w:tc>
          <w:tcPr>
            <w:tcW w:type="dxa" w:w="1440"/>
          </w:tcPr>
          <w:p>
            <w:pPr>
              <w:spacing w:after="20" w:before="20"/>
            </w:pPr>
            <w:r/>
            <w:r>
              <w:rPr>
                <w:rFonts w:ascii="Times New Roman" w:hAnsi="Times New Roman"/>
                <w:b w:val="0"/>
                <w:color w:val="000000"/>
                <w:sz w:val="20"/>
              </w:rPr>
              <w:t>Stage specificity</w:t>
            </w:r>
          </w:p>
        </w:tc>
        <w:tc>
          <w:tcPr>
            <w:tcW w:type="dxa" w:w="1440"/>
          </w:tcPr>
          <w:p>
            <w:pPr>
              <w:spacing w:after="20" w:before="20"/>
            </w:pPr>
            <w:r/>
            <w:r>
              <w:rPr>
                <w:rFonts w:ascii="Times New Roman" w:hAnsi="Times New Roman"/>
                <w:b w:val="0"/>
                <w:color w:val="000000"/>
                <w:sz w:val="20"/>
              </w:rPr>
              <w:t>Shuffled stage labels</w:t>
            </w:r>
          </w:p>
        </w:tc>
        <w:tc>
          <w:tcPr>
            <w:tcW w:type="dxa" w:w="1440"/>
          </w:tcPr>
          <w:p>
            <w:pPr>
              <w:spacing w:after="20" w:before="20"/>
            </w:pPr>
            <w:r/>
            <w:r>
              <w:rPr>
                <w:rFonts w:ascii="Times New Roman" w:hAnsi="Times New Roman"/>
                <w:b w:val="0"/>
                <w:color w:val="000000"/>
                <w:sz w:val="20"/>
              </w:rPr>
              <w:t>Signal survives shuffling</w:t>
            </w:r>
          </w:p>
        </w:tc>
        <w:tc>
          <w:tcPr>
            <w:tcW w:type="dxa" w:w="1440"/>
          </w:tcPr>
          <w:p>
            <w:pPr>
              <w:spacing w:after="20" w:before="20"/>
            </w:pPr>
            <w:r/>
            <w:r>
              <w:rPr>
                <w:rFonts w:ascii="Times New Roman" w:hAnsi="Times New Roman"/>
                <w:b w:val="0"/>
                <w:color w:val="000000"/>
                <w:sz w:val="20"/>
              </w:rPr>
              <w:t>50+ instances, 3+ stages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Wrong-operator assignment</w:t>
            </w:r>
          </w:p>
        </w:tc>
        <w:tc>
          <w:tcPr>
            <w:tcW w:type="dxa" w:w="1440"/>
          </w:tcPr>
          <w:p>
            <w:pPr>
              <w:spacing w:after="20" w:before="20"/>
            </w:pPr>
            <w:r/>
            <w:r>
              <w:rPr>
                <w:rFonts w:ascii="Times New Roman" w:hAnsi="Times New Roman"/>
                <w:b w:val="0"/>
                <w:color w:val="000000"/>
                <w:sz w:val="20"/>
              </w:rPr>
              <w:t>Operator specificity</w:t>
            </w:r>
          </w:p>
        </w:tc>
        <w:tc>
          <w:tcPr>
            <w:tcW w:type="dxa" w:w="1440"/>
          </w:tcPr>
          <w:p>
            <w:pPr>
              <w:spacing w:after="20" w:before="20"/>
            </w:pPr>
            <w:r/>
            <w:r>
              <w:rPr>
                <w:rFonts w:ascii="Times New Roman" w:hAnsi="Times New Roman"/>
                <w:b w:val="0"/>
                <w:color w:val="000000"/>
                <w:sz w:val="20"/>
              </w:rPr>
              <w:t>Swapped operator predictions</w:t>
            </w:r>
          </w:p>
        </w:tc>
        <w:tc>
          <w:tcPr>
            <w:tcW w:type="dxa" w:w="1440"/>
          </w:tcPr>
          <w:p>
            <w:pPr>
              <w:spacing w:after="20" w:before="20"/>
            </w:pPr>
            <w:r/>
            <w:r>
              <w:rPr>
                <w:rFonts w:ascii="Times New Roman" w:hAnsi="Times New Roman"/>
                <w:b w:val="0"/>
                <w:color w:val="000000"/>
                <w:sz w:val="20"/>
              </w:rPr>
              <w:t>Signal does not degrade with wrong operators</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HMM latent state recovery</w:t>
            </w:r>
          </w:p>
        </w:tc>
        <w:tc>
          <w:tcPr>
            <w:tcW w:type="dxa" w:w="1440"/>
          </w:tcPr>
          <w:p>
            <w:pPr>
              <w:spacing w:after="20" w:before="20"/>
            </w:pPr>
            <w:r/>
            <w:r>
              <w:rPr>
                <w:rFonts w:ascii="Times New Roman" w:hAnsi="Times New Roman"/>
                <w:b w:val="0"/>
                <w:color w:val="000000"/>
                <w:sz w:val="20"/>
              </w:rPr>
              <w:t>Independent discoverability</w:t>
            </w:r>
          </w:p>
        </w:tc>
        <w:tc>
          <w:tcPr>
            <w:tcW w:type="dxa" w:w="1440"/>
          </w:tcPr>
          <w:p>
            <w:pPr>
              <w:spacing w:after="20" w:before="20"/>
            </w:pPr>
            <w:r/>
            <w:r>
              <w:rPr>
                <w:rFonts w:ascii="Times New Roman" w:hAnsi="Times New Roman"/>
                <w:b w:val="0"/>
                <w:color w:val="000000"/>
                <w:sz w:val="20"/>
              </w:rPr>
              <w:t>Unsupervised k-state model</w:t>
            </w:r>
          </w:p>
        </w:tc>
        <w:tc>
          <w:tcPr>
            <w:tcW w:type="dxa" w:w="1440"/>
          </w:tcPr>
          <w:p>
            <w:pPr>
              <w:spacing w:after="20" w:before="20"/>
            </w:pPr>
            <w:r/>
            <w:r>
              <w:rPr>
                <w:rFonts w:ascii="Times New Roman" w:hAnsi="Times New Roman"/>
                <w:b w:val="0"/>
                <w:color w:val="000000"/>
                <w:sz w:val="20"/>
              </w:rPr>
              <w:t>HMM recovers fundamentally different structure</w:t>
            </w:r>
          </w:p>
        </w:tc>
        <w:tc>
          <w:tcPr>
            <w:tcW w:type="dxa" w:w="1440"/>
          </w:tcPr>
          <w:p>
            <w:pPr>
              <w:spacing w:after="20" w:before="20"/>
            </w:pPr>
            <w:r/>
            <w:r>
              <w:rPr>
                <w:rFonts w:ascii="Times New Roman" w:hAnsi="Times New Roman"/>
                <w:b w:val="0"/>
                <w:color w:val="000000"/>
                <w:sz w:val="20"/>
              </w:rPr>
              <w:t>200+ instances, time-series operator data</w:t>
            </w:r>
          </w:p>
        </w:tc>
        <w:tc>
          <w:tcPr>
            <w:tcW w:type="dxa" w:w="1440"/>
          </w:tcPr>
          <w:p>
            <w:pPr>
              <w:spacing w:after="20" w:before="20"/>
            </w:pPr>
            <w:r/>
            <w:r>
              <w:rPr>
                <w:rFonts w:ascii="Times New Roman" w:hAnsi="Times New Roman"/>
                <w:b w:val="0"/>
                <w:color w:val="000000"/>
                <w:sz w:val="20"/>
              </w:rPr>
              <w:t>Advanced</w:t>
            </w:r>
          </w:p>
        </w:tc>
      </w:tr>
      <w:tr>
        <w:tc>
          <w:tcPr>
            <w:tcW w:type="dxa" w:w="1440"/>
          </w:tcPr>
          <w:p>
            <w:pPr>
              <w:spacing w:after="20" w:before="20"/>
            </w:pPr>
            <w:r/>
            <w:r>
              <w:rPr>
                <w:rFonts w:ascii="Times New Roman" w:hAnsi="Times New Roman"/>
                <w:b w:val="0"/>
                <w:color w:val="000000"/>
                <w:sz w:val="20"/>
              </w:rPr>
              <w:t>Leave-one-domain-out</w:t>
            </w:r>
          </w:p>
        </w:tc>
        <w:tc>
          <w:tcPr>
            <w:tcW w:type="dxa" w:w="1440"/>
          </w:tcPr>
          <w:p>
            <w:pPr>
              <w:spacing w:after="20" w:before="20"/>
            </w:pPr>
            <w:r/>
            <w:r>
              <w:rPr>
                <w:rFonts w:ascii="Times New Roman" w:hAnsi="Times New Roman"/>
                <w:b w:val="0"/>
                <w:color w:val="000000"/>
                <w:sz w:val="20"/>
              </w:rPr>
              <w:t>Cross-domain robustness</w:t>
            </w:r>
          </w:p>
        </w:tc>
        <w:tc>
          <w:tcPr>
            <w:tcW w:type="dxa" w:w="1440"/>
          </w:tcPr>
          <w:p>
            <w:pPr>
              <w:spacing w:after="20" w:before="20"/>
            </w:pPr>
            <w:r/>
            <w:r>
              <w:rPr>
                <w:rFonts w:ascii="Times New Roman" w:hAnsi="Times New Roman"/>
                <w:b w:val="0"/>
                <w:color w:val="000000"/>
                <w:sz w:val="20"/>
              </w:rPr>
              <w:t>Single-domain dependency</w:t>
            </w:r>
          </w:p>
        </w:tc>
        <w:tc>
          <w:tcPr>
            <w:tcW w:type="dxa" w:w="1440"/>
          </w:tcPr>
          <w:p>
            <w:pPr>
              <w:spacing w:after="20" w:before="20"/>
            </w:pPr>
            <w:r/>
            <w:r>
              <w:rPr>
                <w:rFonts w:ascii="Times New Roman" w:hAnsi="Times New Roman"/>
                <w:b w:val="0"/>
                <w:color w:val="000000"/>
                <w:sz w:val="20"/>
              </w:rPr>
              <w:t>Removing any single domain eliminates the result</w:t>
            </w:r>
          </w:p>
        </w:tc>
        <w:tc>
          <w:tcPr>
            <w:tcW w:type="dxa" w:w="1440"/>
          </w:tcPr>
          <w:p>
            <w:pPr>
              <w:spacing w:after="20" w:before="20"/>
            </w:pPr>
            <w:r/>
            <w:r>
              <w:rPr>
                <w:rFonts w:ascii="Times New Roman" w:hAnsi="Times New Roman"/>
                <w:b w:val="0"/>
                <w:color w:val="000000"/>
                <w:sz w:val="20"/>
              </w:rPr>
              <w:t>2+ domains, 50+ instances each</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Holdout temporal validation</w:t>
            </w:r>
          </w:p>
        </w:tc>
        <w:tc>
          <w:tcPr>
            <w:tcW w:type="dxa" w:w="1440"/>
          </w:tcPr>
          <w:p>
            <w:pPr>
              <w:spacing w:after="20" w:before="20"/>
            </w:pPr>
            <w:r/>
            <w:r>
              <w:rPr>
                <w:rFonts w:ascii="Times New Roman" w:hAnsi="Times New Roman"/>
                <w:b w:val="0"/>
                <w:color w:val="000000"/>
                <w:sz w:val="20"/>
              </w:rPr>
              <w:t>Temporal stability</w:t>
            </w:r>
          </w:p>
        </w:tc>
        <w:tc>
          <w:tcPr>
            <w:tcW w:type="dxa" w:w="1440"/>
          </w:tcPr>
          <w:p>
            <w:pPr>
              <w:spacing w:after="20" w:before="20"/>
            </w:pPr>
            <w:r/>
            <w:r>
              <w:rPr>
                <w:rFonts w:ascii="Times New Roman" w:hAnsi="Times New Roman"/>
                <w:b w:val="0"/>
                <w:color w:val="000000"/>
                <w:sz w:val="20"/>
              </w:rPr>
              <w:t>Train/test split</w:t>
            </w:r>
          </w:p>
        </w:tc>
        <w:tc>
          <w:tcPr>
            <w:tcW w:type="dxa" w:w="1440"/>
          </w:tcPr>
          <w:p>
            <w:pPr>
              <w:spacing w:after="20" w:before="20"/>
            </w:pPr>
            <w:r/>
            <w:r>
              <w:rPr>
                <w:rFonts w:ascii="Times New Roman" w:hAnsi="Times New Roman"/>
                <w:b w:val="0"/>
                <w:color w:val="000000"/>
                <w:sz w:val="20"/>
              </w:rPr>
              <w:t>Test set fails to replicate training result</w:t>
            </w:r>
          </w:p>
        </w:tc>
        <w:tc>
          <w:tcPr>
            <w:tcW w:type="dxa" w:w="1440"/>
          </w:tcPr>
          <w:p>
            <w:pPr>
              <w:spacing w:after="20" w:before="20"/>
            </w:pPr>
            <w:r/>
            <w:r>
              <w:rPr>
                <w:rFonts w:ascii="Times New Roman" w:hAnsi="Times New Roman"/>
                <w:b w:val="0"/>
                <w:color w:val="000000"/>
                <w:sz w:val="20"/>
              </w:rPr>
              <w:t>100+ instances (split 70/30)</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Confound stratification</w:t>
            </w:r>
          </w:p>
        </w:tc>
        <w:tc>
          <w:tcPr>
            <w:tcW w:type="dxa" w:w="1440"/>
          </w:tcPr>
          <w:p>
            <w:pPr>
              <w:spacing w:after="20" w:before="20"/>
            </w:pPr>
            <w:r/>
            <w:r>
              <w:rPr>
                <w:rFonts w:ascii="Times New Roman" w:hAnsi="Times New Roman"/>
                <w:b w:val="0"/>
                <w:color w:val="000000"/>
                <w:sz w:val="20"/>
              </w:rPr>
              <w:t>Ruling out confounds</w:t>
            </w:r>
          </w:p>
        </w:tc>
        <w:tc>
          <w:tcPr>
            <w:tcW w:type="dxa" w:w="1440"/>
          </w:tcPr>
          <w:p>
            <w:pPr>
              <w:spacing w:after="20" w:before="20"/>
            </w:pPr>
            <w:r/>
            <w:r>
              <w:rPr>
                <w:rFonts w:ascii="Times New Roman" w:hAnsi="Times New Roman"/>
                <w:b w:val="0"/>
                <w:color w:val="000000"/>
                <w:sz w:val="20"/>
              </w:rPr>
              <w:t>Size, phase, year controls</w:t>
            </w:r>
          </w:p>
        </w:tc>
        <w:tc>
          <w:tcPr>
            <w:tcW w:type="dxa" w:w="1440"/>
          </w:tcPr>
          <w:p>
            <w:pPr>
              <w:spacing w:after="20" w:before="20"/>
            </w:pPr>
            <w:r/>
            <w:r>
              <w:rPr>
                <w:rFonts w:ascii="Times New Roman" w:hAnsi="Times New Roman"/>
                <w:b w:val="0"/>
                <w:color w:val="000000"/>
                <w:sz w:val="20"/>
              </w:rPr>
              <w:t>Effect disappears after controlling for confounds</w:t>
            </w:r>
          </w:p>
        </w:tc>
        <w:tc>
          <w:tcPr>
            <w:tcW w:type="dxa" w:w="1440"/>
          </w:tcPr>
          <w:p>
            <w:pPr>
              <w:spacing w:after="20" w:before="20"/>
            </w:pPr>
            <w:r/>
            <w:r>
              <w:rPr>
                <w:rFonts w:ascii="Times New Roman" w:hAnsi="Times New Roman"/>
                <w:b w:val="0"/>
                <w:color w:val="000000"/>
                <w:sz w:val="20"/>
              </w:rPr>
              <w:t>100+ instances, confound metadata</w:t>
            </w:r>
          </w:p>
        </w:tc>
        <w:tc>
          <w:tcPr>
            <w:tcW w:type="dxa" w:w="1440"/>
          </w:tcPr>
          <w:p>
            <w:pPr>
              <w:spacing w:after="20" w:before="20"/>
            </w:pPr>
            <w:r/>
            <w:r>
              <w:rPr>
                <w:rFonts w:ascii="Times New Roman" w:hAnsi="Times New Roman"/>
                <w:b w:val="0"/>
                <w:color w:val="000000"/>
                <w:sz w:val="20"/>
              </w:rPr>
              <w:t>Intermediate</w:t>
            </w:r>
          </w:p>
        </w:tc>
      </w:tr>
    </w:tbl>
    <w:p>
      <w:pPr>
        <w:spacing w:after="120" w:before="240"/>
      </w:pPr>
      <w:r>
        <w:rPr>
          <w:rFonts w:ascii="Times New Roman" w:hAnsi="Times New Roman"/>
          <w:b/>
          <w:i w:val="0"/>
          <w:color w:val="2F5496"/>
          <w:sz w:val="28"/>
        </w:rPr>
        <w:t>8. Mechanism Roadmap (Inside-Out Bridge)</w:t>
      </w:r>
    </w:p>
    <w:p>
      <w:pPr>
        <w:spacing w:after="80" w:before="160"/>
      </w:pPr>
      <w:r>
        <w:rPr>
          <w:rFonts w:ascii="Times New Roman" w:hAnsi="Times New Roman"/>
          <w:b/>
          <w:i w:val="0"/>
          <w:color w:val="2F5496"/>
          <w:sz w:val="24"/>
        </w:rPr>
        <w:t>8.1 What Has Been Established</w:t>
      </w:r>
    </w:p>
    <w:p>
      <w:pPr>
        <w:spacing w:after="60"/>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after="80" w:before="160"/>
      </w:pPr>
      <w:r>
        <w:rPr>
          <w:rFonts w:ascii="Times New Roman" w:hAnsi="Times New Roman"/>
          <w:b/>
          <w:i w:val="0"/>
          <w:color w:val="2F5496"/>
          <w:sz w:val="24"/>
        </w:rPr>
        <w:t>8.2 What Remains Unknown</w:t>
      </w:r>
    </w:p>
    <w:p>
      <w:pPr>
        <w:spacing w:after="60"/>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after="80" w:before="160"/>
      </w:pPr>
      <w:r>
        <w:rPr>
          <w:rFonts w:ascii="Times New Roman" w:hAnsi="Times New Roman"/>
          <w:b/>
          <w:i w:val="0"/>
          <w:color w:val="2F5496"/>
          <w:sz w:val="24"/>
        </w:rPr>
        <w:t>8.3 Candidate Mechanism Classes</w:t>
      </w:r>
    </w:p>
    <w:p>
      <w:pPr>
        <w:spacing w:after="60"/>
      </w:pPr>
      <w:r>
        <w:rPr>
          <w:rFonts w:ascii="Times New Roman" w:hAnsi="Times New Roman"/>
          <w:b w:val="0"/>
          <w:i w:val="0"/>
          <w:color w:val="000000"/>
          <w:sz w:val="22"/>
        </w:rPr>
        <w:t>A. Finite state grammar. The lifecycle as a formal grammar with production rules. Each stage is a non-terminal symbol; transitions are rewrite rules. Would need to explain why the grammar has exactly four non-terminals and why the production rules are asymmetric.</w:t>
      </w:r>
    </w:p>
    <w:p>
      <w:pPr>
        <w:spacing w:after="60"/>
      </w:pPr>
      <w:r>
        <w:rPr>
          <w:rFonts w:ascii="Times New Roman" w:hAnsi="Times New Roman"/>
          <w:b w:val="0"/>
          <w:i w:val="0"/>
          <w:color w:val="000000"/>
          <w:sz w:val="22"/>
        </w:rPr>
        <w:t>B. Thermodynamic engine. The lifecycle as energy dissipation with phase transitions. Each stage corresponds to a thermodynamic regime. Would need to explain the specific operator–stage bindings without introducing domain-specific parameters.</w:t>
      </w:r>
    </w:p>
    <w:p>
      <w:pPr>
        <w:spacing w:after="60"/>
      </w:pPr>
      <w:r>
        <w:rPr>
          <w:rFonts w:ascii="Times New Roman" w:hAnsi="Times New Roman"/>
          <w:b w:val="0"/>
          <w:i w:val="0"/>
          <w:color w:val="000000"/>
          <w:sz w:val="22"/>
        </w:rPr>
        <w:t>C. Information bottleneck. The lifecycle as a compression–expansion cycle. Gathering stages expand the information channel; narrowing stages compress it. Would need to explain why the cycle has a fixed phase order rather than oscillating freely.</w:t>
      </w:r>
    </w:p>
    <w:p>
      <w:pPr>
        <w:spacing w:after="60"/>
      </w:pPr>
      <w:r>
        <w:rPr>
          <w:rFonts w:ascii="Times New Roman" w:hAnsi="Times New Roman"/>
          <w:b w:val="0"/>
          <w:i w:val="0"/>
          <w:color w:val="000000"/>
          <w:sz w:val="22"/>
        </w:rPr>
        <w:t>D. Evolutionary search architecture. The lifecycle as a structured exploration algorithm with generation, selection, refinement, and deployment phases. Would need to explain why this particular decomposition is favored over alternatives.</w:t>
      </w:r>
    </w:p>
    <w:p>
      <w:pPr>
        <w:spacing w:after="80" w:before="160"/>
      </w:pPr>
      <w:r>
        <w:rPr>
          <w:rFonts w:ascii="Times New Roman" w:hAnsi="Times New Roman"/>
          <w:b/>
          <w:i w:val="0"/>
          <w:color w:val="2F5496"/>
          <w:sz w:val="24"/>
        </w:rPr>
        <w:t>8.4 Success and Failure Criteria</w:t>
      </w:r>
    </w:p>
    <w:p>
      <w:pPr>
        <w:spacing w:after="60"/>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after="120" w:before="240"/>
      </w:pPr>
      <w:r>
        <w:rPr>
          <w:rFonts w:ascii="Times New Roman" w:hAnsi="Times New Roman"/>
          <w:b/>
          <w:i w:val="0"/>
          <w:color w:val="2F5496"/>
          <w:sz w:val="28"/>
        </w:rPr>
        <w:t>9. Open Problems</w:t>
      </w:r>
    </w:p>
    <w:p>
      <w:pPr>
        <w:spacing w:after="60"/>
      </w:pPr>
      <w:r>
        <w:rPr>
          <w:rFonts w:ascii="Times New Roman" w:hAnsi="Times New Roman"/>
          <w:b w:val="0"/>
          <w:i w:val="0"/>
          <w:color w:val="000000"/>
          <w:sz w:val="22"/>
        </w:rPr>
        <w:t>The following problems represent the current frontiers of TFP research:</w:t>
      </w:r>
    </w:p>
    <w:p>
      <w:pPr>
        <w:spacing w:after="60"/>
      </w:pPr>
      <w:r>
        <w:rPr>
          <w:rFonts w:ascii="Times New Roman" w:hAnsi="Times New Roman"/>
          <w:b/>
          <w:i w:val="0"/>
          <w:color w:val="000000"/>
          <w:sz w:val="22"/>
        </w:rPr>
        <w:t>1. Direct Q1 measurement.</w:t>
      </w:r>
      <w:r>
        <w:rPr>
          <w:rFonts w:ascii="Times New Roman" w:hAnsi="Times New Roman"/>
          <w:b w:val="0"/>
          <w:i w:val="0"/>
          <w:color w:val="000000"/>
          <w:sz w:val="22"/>
        </w:rPr>
        <w:t xml:space="preserve"> Q1 (internal preparation) has not been directly measured. Testing requires process-tracing methods such as eye-tracking, think-aloud protocols, or neural recording during the earliest stages of a lifecycle process.</w:t>
      </w:r>
    </w:p>
    <w:p>
      <w:pPr>
        <w:spacing w:after="60"/>
      </w:pPr>
      <w:r>
        <w:rPr>
          <w:rFonts w:ascii="Times New Roman" w:hAnsi="Times New Roman"/>
          <w:b/>
          <w:i w:val="0"/>
          <w:color w:val="000000"/>
          <w:sz w:val="22"/>
        </w:rPr>
        <w:t>2. Direct Q4A measurement.</w:t>
      </w:r>
      <w:r>
        <w:rPr>
          <w:rFonts w:ascii="Times New Roman" w:hAnsi="Times New Roman"/>
          <w:b w:val="0"/>
          <w:i w:val="0"/>
          <w:color w:val="000000"/>
          <w:sz w:val="22"/>
        </w:rPr>
        <w:t xml:space="preserve"> Q4A (deployment continuation) has not been independently validated. Testing requires multi-stage tracking of systems that successfully pass the Q4 viability gate.</w:t>
      </w:r>
    </w:p>
    <w:p>
      <w:pPr>
        <w:spacing w:after="60"/>
      </w:pPr>
      <w:r>
        <w:rPr>
          <w:rFonts w:ascii="Times New Roman" w:hAnsi="Times New Roman"/>
          <w:b/>
          <w:i w:val="0"/>
          <w:color w:val="000000"/>
          <w:sz w:val="22"/>
        </w:rPr>
        <w:t>3. B_in independent validation.</w:t>
      </w:r>
      <w:r>
        <w:rPr>
          <w:rFonts w:ascii="Times New Roman" w:hAnsi="Times New Roman"/>
          <w:b w:val="0"/>
          <w:i w:val="0"/>
          <w:color w:val="000000"/>
          <w:sz w:val="22"/>
        </w:rPr>
        <w:t xml:space="preserve"> The internal stabilization operator (B_in) has not been tested independently of the other operators. Developing independent B_in metrics is a prerequisite for full four-operator validation.</w:t>
      </w:r>
    </w:p>
    <w:p>
      <w:pPr>
        <w:spacing w:after="60"/>
      </w:pPr>
      <w:r>
        <w:rPr>
          <w:rFonts w:ascii="Times New Roman" w:hAnsi="Times New Roman"/>
          <w:b/>
          <w:i w:val="0"/>
          <w:color w:val="000000"/>
          <w:sz w:val="22"/>
        </w:rPr>
        <w:t>4. Non-institutional domain testing.</w:t>
      </w:r>
      <w:r>
        <w:rPr>
          <w:rFonts w:ascii="Times New Roman" w:hAnsi="Times New Roman"/>
          <w:b w:val="0"/>
          <w:i w:val="0"/>
          <w:color w:val="000000"/>
          <w:sz w:val="22"/>
        </w:rPr>
        <w:t xml:space="preserve">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after="60"/>
      </w:pPr>
      <w:r>
        <w:rPr>
          <w:rFonts w:ascii="Times New Roman" w:hAnsi="Times New Roman"/>
          <w:b/>
          <w:i w:val="0"/>
          <w:color w:val="000000"/>
          <w:sz w:val="22"/>
        </w:rPr>
        <w:t>5. Stronger quantitative predictions.</w:t>
      </w:r>
      <w:r>
        <w:rPr>
          <w:rFonts w:ascii="Times New Roman" w:hAnsi="Times New Roman"/>
          <w:b w:val="0"/>
          <w:i w:val="0"/>
          <w:color w:val="000000"/>
          <w:sz w:val="22"/>
        </w:rPr>
        <w:t xml:space="preserve"> Current TFP predictions are directional (operator X peaks at stage Y). Moving to quantitative predictions—specifying expected effect size ranges—would strengthen the framework's falsifiability.</w:t>
      </w:r>
    </w:p>
    <w:p>
      <w:pPr>
        <w:spacing w:after="60"/>
      </w:pPr>
      <w:r>
        <w:rPr>
          <w:rFonts w:ascii="Times New Roman" w:hAnsi="Times New Roman"/>
          <w:b/>
          <w:i w:val="0"/>
          <w:color w:val="000000"/>
          <w:sz w:val="22"/>
        </w:rPr>
        <w:t>6. Domain boundary conditions.</w:t>
      </w:r>
      <w:r>
        <w:rPr>
          <w:rFonts w:ascii="Times New Roman" w:hAnsi="Times New Roman"/>
          <w:b w:val="0"/>
          <w:i w:val="0"/>
          <w:color w:val="000000"/>
          <w:sz w:val="22"/>
        </w:rPr>
        <w:t xml:space="preserve"> Systematic identification of which systems exhibit TFP structure and which do not. Understanding why some systems lack lifecycle structure is as important as understanding why others have it.</w:t>
      </w:r>
    </w:p>
    <w:p>
      <w:pPr>
        <w:spacing w:after="60"/>
      </w:pPr>
      <w:r>
        <w:rPr>
          <w:rFonts w:ascii="Times New Roman" w:hAnsi="Times New Roman"/>
          <w:b/>
          <w:i w:val="0"/>
          <w:color w:val="000000"/>
          <w:sz w:val="22"/>
        </w:rPr>
        <w:t>7. Inside-out generator search.</w:t>
      </w:r>
      <w:r>
        <w:rPr>
          <w:rFonts w:ascii="Times New Roman" w:hAnsi="Times New Roman"/>
          <w:b w:val="0"/>
          <w:i w:val="0"/>
          <w:color w:val="000000"/>
          <w:sz w:val="22"/>
        </w:rPr>
        <w:t xml:space="preserve"> Identifying the mechanism that generates the observed surface invariants (see Section 8).</w:t>
      </w:r>
    </w:p>
    <w:p>
      <w:pPr>
        <w:spacing w:after="60"/>
      </w:pPr>
      <w:r>
        <w:rPr>
          <w:rFonts w:ascii="Times New Roman" w:hAnsi="Times New Roman"/>
          <w:b/>
          <w:i w:val="0"/>
          <w:color w:val="000000"/>
          <w:sz w:val="22"/>
        </w:rPr>
        <w:t>8. Operator irreducibility.</w:t>
      </w:r>
      <w:r>
        <w:rPr>
          <w:rFonts w:ascii="Times New Roman" w:hAnsi="Times New Roman"/>
          <w:b w:val="0"/>
          <w:i w:val="0"/>
          <w:color w:val="000000"/>
          <w:sz w:val="22"/>
        </w:rPr>
        <w:t xml:space="preserve"> Are four operators the minimum number required, or could the observed signatures be explained by fewer (or more) operators? Formal analysis of operator independence and irreducibility is needed.</w:t>
      </w:r>
    </w:p>
    <w:p>
      <w:pPr>
        <w:spacing w:after="60"/>
      </w:pPr>
      <w:r>
        <w:rPr>
          <w:rFonts w:ascii="Times New Roman" w:hAnsi="Times New Roman"/>
          <w:b/>
          <w:i w:val="0"/>
          <w:color w:val="000000"/>
          <w:sz w:val="22"/>
        </w:rPr>
        <w:t>9. Cross-scale isomorphism.</w:t>
      </w:r>
      <w:r>
        <w:rPr>
          <w:rFonts w:ascii="Times New Roman" w:hAnsi="Times New Roman"/>
          <w:b w:val="0"/>
          <w:i w:val="0"/>
          <w:color w:val="000000"/>
          <w:sz w:val="22"/>
        </w:rPr>
        <w:t xml:space="preserve"> TFP predicts that the same lifecycle structure appears at micro, meso, and macro scales. This prediction has not been tested.</w:t>
      </w:r>
    </w:p>
    <w:p>
      <w:pPr>
        <w:spacing w:after="60"/>
      </w:pPr>
      <w:r>
        <w:rPr>
          <w:rFonts w:ascii="Times New Roman" w:hAnsi="Times New Roman"/>
          <w:b/>
          <w:i w:val="0"/>
          <w:color w:val="000000"/>
          <w:sz w:val="22"/>
        </w:rPr>
        <w:t>10. Relation to existing frameworks.</w:t>
      </w:r>
      <w:r>
        <w:rPr>
          <w:rFonts w:ascii="Times New Roman" w:hAnsi="Times New Roman"/>
          <w:b w:val="0"/>
          <w:i w:val="0"/>
          <w:color w:val="000000"/>
          <w:sz w:val="22"/>
        </w:rPr>
        <w:t xml:space="preserve"> Systematic comparison of TFP with explore–exploit models, lifecycle frameworks in organizational science, phase transition models in physics, and developmental stage theories in biology.</w:t>
      </w:r>
    </w:p>
    <w:p>
      <w:pPr>
        <w:spacing w:after="120" w:before="240"/>
      </w:pPr>
      <w:r>
        <w:rPr>
          <w:rFonts w:ascii="Times New Roman" w:hAnsi="Times New Roman"/>
          <w:b/>
          <w:i w:val="0"/>
          <w:color w:val="2F5496"/>
          <w:sz w:val="28"/>
        </w:rPr>
        <w:t>10. How Outside Researchers Can Contribute</w:t>
      </w:r>
    </w:p>
    <w:p>
      <w:pPr>
        <w:spacing w:after="60"/>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after="60"/>
      </w:pPr>
      <w:r>
        <w:rPr>
          <w:rFonts w:ascii="Times New Roman" w:hAnsi="Times New Roman"/>
          <w:b/>
          <w:i w:val="0"/>
          <w:color w:val="000000"/>
          <w:sz w:val="22"/>
        </w:rPr>
        <w:t>Computational researchers:</w:t>
      </w:r>
      <w:r>
        <w:rPr>
          <w:rFonts w:ascii="Times New Roman" w:hAnsi="Times New Roman"/>
          <w:b w:val="0"/>
          <w:i w:val="0"/>
          <w:color w:val="000000"/>
          <w:sz w:val="22"/>
        </w:rPr>
        <w:t xml:space="preserve"> Run the permutation search on new domains, build latent-state rival models, search for minimal generators that reproduce TFP's signatures.</w:t>
      </w:r>
    </w:p>
    <w:p>
      <w:pPr>
        <w:spacing w:after="60"/>
      </w:pPr>
      <w:r>
        <w:rPr>
          <w:rFonts w:ascii="Times New Roman" w:hAnsi="Times New Roman"/>
          <w:b/>
          <w:i w:val="0"/>
          <w:color w:val="000000"/>
          <w:sz w:val="22"/>
        </w:rPr>
        <w:t>Behavioral scientists:</w:t>
      </w:r>
      <w:r>
        <w:rPr>
          <w:rFonts w:ascii="Times New Roman" w:hAnsi="Times New Roman"/>
          <w:b w:val="0"/>
          <w:i w:val="0"/>
          <w:color w:val="000000"/>
          <w:sz w:val="22"/>
        </w:rPr>
        <w:t xml:space="preserve"> Test Q1 and Q4B predictions with process-tracing methods, design experiments that distinguish TFP from generic explore–exploit models.</w:t>
      </w:r>
    </w:p>
    <w:p>
      <w:pPr>
        <w:spacing w:after="60"/>
      </w:pPr>
      <w:r>
        <w:rPr>
          <w:rFonts w:ascii="Times New Roman" w:hAnsi="Times New Roman"/>
          <w:b/>
          <w:i w:val="0"/>
          <w:color w:val="000000"/>
          <w:sz w:val="22"/>
        </w:rPr>
        <w:t>Complexity scientists:</w:t>
      </w:r>
      <w:r>
        <w:rPr>
          <w:rFonts w:ascii="Times New Roman" w:hAnsi="Times New Roman"/>
          <w:b w:val="0"/>
          <w:i w:val="0"/>
          <w:color w:val="000000"/>
          <w:sz w:val="22"/>
        </w:rPr>
        <w:t xml:space="preserve"> Formalize the lifecycle as a dynamical system, test cross-scale predictions, explore connections to phase transition theory.</w:t>
      </w:r>
    </w:p>
    <w:p>
      <w:pPr>
        <w:spacing w:after="60"/>
      </w:pPr>
      <w:r>
        <w:rPr>
          <w:rFonts w:ascii="Times New Roman" w:hAnsi="Times New Roman"/>
          <w:b/>
          <w:i w:val="0"/>
          <w:color w:val="000000"/>
          <w:sz w:val="22"/>
        </w:rPr>
        <w:t>Data scientists:</w:t>
      </w:r>
      <w:r>
        <w:rPr>
          <w:rFonts w:ascii="Times New Roman" w:hAnsi="Times New Roman"/>
          <w:b w:val="0"/>
          <w:i w:val="0"/>
          <w:color w:val="000000"/>
          <w:sz w:val="22"/>
        </w:rPr>
        <w:t xml:space="preserve"> Apply the benchmark pipeline to new lifecycle datasets, develop improved operator metrics, test sensitivity to metric choice.</w:t>
      </w:r>
    </w:p>
    <w:p>
      <w:pPr>
        <w:spacing w:after="60"/>
      </w:pPr>
      <w:r>
        <w:rPr>
          <w:rFonts w:ascii="Times New Roman" w:hAnsi="Times New Roman"/>
          <w:b/>
          <w:i w:val="0"/>
          <w:color w:val="000000"/>
          <w:sz w:val="22"/>
        </w:rPr>
        <w:t>AI researchers:</w:t>
      </w:r>
      <w:r>
        <w:rPr>
          <w:rFonts w:ascii="Times New Roman" w:hAnsi="Times New Roman"/>
          <w:b w:val="0"/>
          <w:i w:val="0"/>
          <w:color w:val="000000"/>
          <w:sz w:val="22"/>
        </w:rPr>
        <w:t xml:space="preserve"> Build TFP-inspired architectures, test whether TFP lifecycle structure improves reinforcement learning agents, investigate whether learned agents spontaneously develop TFP-like stage structure.</w:t>
      </w:r>
    </w:p>
    <w:p>
      <w:pPr>
        <w:spacing w:after="60"/>
      </w:pPr>
      <w:r>
        <w:rPr>
          <w:rFonts w:ascii="Times New Roman" w:hAnsi="Times New Roman"/>
          <w:b/>
          <w:i w:val="0"/>
          <w:color w:val="000000"/>
          <w:sz w:val="22"/>
        </w:rPr>
        <w:t>Methodologists:</w:t>
      </w:r>
      <w:r>
        <w:rPr>
          <w:rFonts w:ascii="Times New Roman" w:hAnsi="Times New Roman"/>
          <w:b w:val="0"/>
          <w:i w:val="0"/>
          <w:color w:val="000000"/>
          <w:sz w:val="22"/>
        </w:rPr>
        <w:t xml:space="preserve"> Develop better falsification tests, formalize the invariant hierarchy, design statistical frameworks for comparing lifecycle grammars.</w:t>
      </w:r>
    </w:p>
    <w:p>
      <w:pPr>
        <w:spacing w:after="120" w:before="240"/>
      </w:pPr>
      <w:r>
        <w:rPr>
          <w:rFonts w:ascii="Times New Roman" w:hAnsi="Times New Roman"/>
          <w:b/>
          <w:i w:val="0"/>
          <w:color w:val="2F5496"/>
          <w:sz w:val="28"/>
        </w:rPr>
        <w:t>11. Conclusion</w:t>
      </w:r>
    </w:p>
    <w:p>
      <w:pPr>
        <w:spacing w:after="60"/>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after="60"/>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minimum data requirements, and kill criteria for each claim. The mechanism roadmap (Section 8) identifies the gap between surface invariants and their underlying generator without overstating current theoretical understanding.</w:t>
      </w:r>
    </w:p>
    <w:p>
      <w:pPr>
        <w:spacing w:after="60"/>
      </w:pPr>
      <w:r>
        <w:rPr>
          <w:rFonts w:ascii="Times New Roman" w:hAnsi="Times New Roman"/>
          <w:b w:val="0"/>
          <w:i w:val="0"/>
          <w:color w:val="000000"/>
          <w:sz w:val="22"/>
        </w:rPr>
        <w:t>The next stage of progress depends on independent replication and extension by outside researchers. Researchers who find that TFP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after="120" w:before="240"/>
      </w:pPr>
      <w:r>
        <w:rPr>
          <w:rFonts w:ascii="Times New Roman" w:hAnsi="Times New Roman"/>
          <w:b/>
          <w:i w:val="0"/>
          <w:color w:val="2F5496"/>
          <w:sz w:val="28"/>
        </w:rPr>
        <w:t>References</w:t>
      </w:r>
    </w:p>
    <w:p>
      <w:pPr>
        <w:spacing w:after="60"/>
      </w:pPr>
      <w:r>
        <w:rPr>
          <w:rFonts w:ascii="Times New Roman" w:hAnsi="Times New Roman"/>
          <w:b w:val="0"/>
          <w:i w:val="0"/>
          <w:color w:val="000000"/>
          <w:sz w:val="22"/>
        </w:rPr>
        <w:t>[1] Ollar, A. (2026). Dual-memory dissociation under partial observability: An identifiability-governed phase transition. Submitted to Expert Systems with Applications. Preprint: https://doi.org/10.5281/zenodo.18929188</w:t>
      </w:r>
    </w:p>
    <w:p>
      <w:pPr>
        <w:spacing w:after="60"/>
      </w:pPr>
      <w:r>
        <w:rPr>
          <w:rFonts w:ascii="Times New Roman" w:hAnsi="Times New Roman"/>
          <w:b w:val="0"/>
          <w:i w:val="0"/>
          <w:color w:val="000000"/>
          <w:sz w:val="22"/>
        </w:rPr>
        <w:t>[2] Ollar, A. (2026). A dissociation test for causal attribution under partial observability: Separate memory channels for rate pressure and capacity damage in Li-ion batteries. Submitted to Journal of Power Sources. Preprint: https://doi.org/10.5281/zenodo.18809446</w:t>
      </w:r>
    </w:p>
    <w:p>
      <w:pPr>
        <w:spacing w:after="60"/>
      </w:pPr>
      <w:r>
        <w:rPr>
          <w:rFonts w:ascii="Times New Roman" w:hAnsi="Times New Roman"/>
          <w:b w:val="0"/>
          <w:i w:val="0"/>
          <w:color w:val="000000"/>
          <w:sz w:val="22"/>
        </w:rPr>
        <w:t>[3] Ollar, A. (2026). Depletion-gated reorientation: A minimal mechanism for efficient spatial foraging. Zenodo. https://doi.org/10.5281/zenodo.18930571</w:t>
      </w:r>
    </w:p>
    <w:p>
      <w:pPr>
        <w:spacing w:after="60"/>
      </w:pPr>
      <w:r>
        <w:rPr>
          <w:rFonts w:ascii="Times New Roman" w:hAnsi="Times New Roman"/>
          <w:b w:val="0"/>
          <w:i w:val="0"/>
          <w:color w:val="000000"/>
          <w:sz w:val="22"/>
        </w:rPr>
        <w:t>[4] Ollar, A. (2026). Structured reseeding after failure: Asymmetric selection-transformation cycles in macroeconomic, biological, and cognitive systems. Zenodo. https://doi.org/10.5281/zenodo.19157916</w:t>
      </w:r>
    </w:p>
    <w:p>
      <w:pPr>
        <w:spacing w:after="60"/>
      </w:pPr>
      <w:r>
        <w:rPr>
          <w:rFonts w:ascii="Times New Roman" w:hAnsi="Times New Roman"/>
          <w:b w:val="0"/>
          <w:i w:val="0"/>
          <w:color w:val="000000"/>
          <w:sz w:val="22"/>
        </w:rPr>
        <w:t>[5] Ollar, A. (2026). Non-interchangeable stage functions in staged adaptive systems: A forced-choice test of operator-stage binding across four domains. Preprint forthcoming on Zenodo.</w:t>
      </w:r>
    </w:p>
    <w:p>
      <w:pPr>
        <w:spacing w:after="6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after="60"/>
      </w:pPr>
      <w:r>
        <w:rPr>
          <w:rFonts w:ascii="Times New Roman" w:hAnsi="Times New Roman"/>
          <w:b w:val="0"/>
          <w:i w:val="0"/>
          <w:color w:val="000000"/>
          <w:sz w:val="22"/>
        </w:rPr>
        <w:t>[7] Holland, J. H. (1975). Adaptation in Natural and Artificial Systems. University of Michigan Press.</w:t>
      </w:r>
    </w:p>
    <w:p>
      <w:pPr>
        <w:spacing w:after="60"/>
      </w:pPr>
      <w:r>
        <w:rPr>
          <w:rFonts w:ascii="Times New Roman" w:hAnsi="Times New Roman"/>
          <w:b w:val="0"/>
          <w:i w:val="0"/>
          <w:color w:val="000000"/>
          <w:sz w:val="22"/>
        </w:rPr>
        <w:t>[8] Levinthal, D. A. (1997). Adaptation on rugged landscapes. Management Science, 43(7), 934–950.</w:t>
      </w:r>
    </w:p>
    <w:p>
      <w:pPr>
        <w:spacing w:after="60"/>
      </w:pPr>
      <w:r>
        <w:rPr>
          <w:rFonts w:ascii="Times New Roman" w:hAnsi="Times New Roman"/>
          <w:b w:val="0"/>
          <w:i w:val="0"/>
          <w:color w:val="000000"/>
          <w:sz w:val="22"/>
        </w:rPr>
        <w:t>[9] March, J. G. (1991). Exploration and exploitation in organizational learning. Organization Science, 2(1), 71–87.</w:t>
      </w:r>
    </w:p>
    <w:p>
      <w:pPr>
        <w:spacing w:after="6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after="120" w:before="240"/>
      </w:pPr>
      <w:r>
        <w:rPr>
          <w:rFonts w:ascii="Times New Roman" w:hAnsi="Times New Roman"/>
          <w:b/>
          <w:i w:val="0"/>
          <w:color w:val="2F5496"/>
          <w:sz w:val="28"/>
        </w:rPr>
        <w:t>Use of AI Tools</w:t>
      </w:r>
    </w:p>
    <w:p>
      <w:pPr>
        <w:spacing w:after="60"/>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after="120" w:before="240"/>
      </w:pPr>
      <w:r>
        <w:rPr>
          <w:rFonts w:ascii="Times New Roman" w:hAnsi="Times New Roman"/>
          <w:b/>
          <w:i w:val="0"/>
          <w:color w:val="2F5496"/>
          <w:sz w:val="28"/>
        </w:rPr>
        <w:t>Data and Code Availability</w:t>
      </w:r>
    </w:p>
    <w:p>
      <w:pPr>
        <w:spacing w:after="60"/>
      </w:pPr>
      <w:r>
        <w:rPr>
          <w:rFonts w:ascii="Times New Roman" w:hAnsi="Times New Roman"/>
          <w:b w:val="0"/>
          <w:i w:val="0"/>
          <w:color w:val="000000"/>
          <w:sz w:val="22"/>
        </w:rPr>
        <w:t>Analysis code, validation wrappers, and lifecycle datasets are publicly available at https://github.com/aollar/TFP-core. The public repository aollar/TFP-supplementary-materials (https://github.com/aollar/TFP-supplementary-materials) contains papers, preregistration, and benchmark specifications.</w:t>
      </w:r>
    </w:p>
    <w:p>
      <w:pPr>
        <w:spacing w:after="60"/>
      </w:pPr>
      <w:r>
        <w:rPr>
          <w:rFonts w:ascii="Times New Roman" w:hAnsi="Times New Roman"/>
          <w:b w:val="0"/>
          <w:i w:val="0"/>
          <w:color w:val="000000"/>
          <w:sz w:val="22"/>
        </w:rPr>
        <w:t>Public datasets used in the TFP research program:</w:t>
      </w:r>
    </w:p>
    <w:p>
      <w:pPr>
        <w:spacing w:after="60"/>
      </w:pPr>
      <w:r>
        <w:rPr>
          <w:rFonts w:ascii="Times New Roman" w:hAnsi="Times New Roman"/>
          <w:b w:val="0"/>
          <w:i w:val="0"/>
          <w:color w:val="000000"/>
          <w:sz w:val="22"/>
        </w:rPr>
        <w:t>• IETF RFC and Internet-Draft archives: https://www.ietf.org/standards/rfcs/</w:t>
      </w:r>
    </w:p>
    <w:p>
      <w:pPr>
        <w:spacing w:after="60"/>
      </w:pPr>
      <w:r>
        <w:rPr>
          <w:rFonts w:ascii="Times New Roman" w:hAnsi="Times New Roman"/>
          <w:b w:val="0"/>
          <w:i w:val="0"/>
          <w:color w:val="000000"/>
          <w:sz w:val="22"/>
        </w:rPr>
        <w:t>• ClinicalTrials.gov: https://clinicaltrials.gov/</w:t>
      </w:r>
    </w:p>
    <w:p>
      <w:pPr>
        <w:spacing w:after="60"/>
      </w:pPr>
      <w:r>
        <w:rPr>
          <w:rFonts w:ascii="Times New Roman" w:hAnsi="Times New Roman"/>
          <w:b w:val="0"/>
          <w:i w:val="0"/>
          <w:color w:val="000000"/>
          <w:sz w:val="22"/>
        </w:rPr>
        <w:t>• Federal Register (EPA rules): https://www.federalregister.gov/</w:t>
      </w:r>
    </w:p>
    <w:p>
      <w:pPr>
        <w:spacing w:after="60"/>
      </w:pPr>
      <w:r>
        <w:rPr>
          <w:rFonts w:ascii="Times New Roman" w:hAnsi="Times New Roman"/>
          <w:b w:val="0"/>
          <w:i w:val="0"/>
          <w:color w:val="000000"/>
          <w:sz w:val="22"/>
        </w:rPr>
        <w:t>• USPTO Patent Data: https://bulkdata.uspto.gov/</w:t>
      </w:r>
    </w:p>
    <w:p>
      <w:pPr>
        <w:spacing w:after="60"/>
      </w:pPr>
      <w:r>
        <w:rPr>
          <w:rFonts w:ascii="Times New Roman" w:hAnsi="Times New Roman"/>
          <w:b w:val="0"/>
          <w:i w:val="0"/>
          <w:color w:val="000000"/>
          <w:sz w:val="22"/>
        </w:rPr>
        <w:t>• Python Enhancement Proposals: https://peps.python.org/</w:t>
      </w:r>
    </w:p>
    <w:p>
      <w:pPr>
        <w:spacing w:after="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