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/>
          <w:b/>
          <w:i w:val="0"/>
          <w:color w:val="2F5496"/>
          <w:sz w:val="52"/>
        </w:rPr>
        <w:t>The First Pattern: Theory Reference</w:t>
      </w:r>
    </w:p>
    <w:p>
      <w:pPr>
        <w:spacing w:before="0" w:after="240"/>
        <w:pBdr>
          <w:bottom w:val="single" w:sz="6" w:space="1" w:color="2F5496"/>
        </w:pBdr>
      </w:pPr>
    </w:p>
    <w:p>
      <w:pPr>
        <w:spacing w:after="240"/>
        <w:jc w:val="left"/>
      </w:pPr>
      <w:r>
        <w:rPr>
          <w:rFonts w:ascii="Times New Roman" w:hAnsi="Times New Roman"/>
          <w:b/>
          <w:i w:val="0"/>
          <w:color w:val="000000"/>
          <w:sz w:val="22"/>
        </w:rPr>
        <w:t>Austin Ollar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 —  ORCID: 0009-0002-9998-9287</w:t>
      </w:r>
    </w:p>
    <w:p>
      <w:pPr>
        <w:spacing w:before="360" w:after="120"/>
      </w:pPr>
      <w:r>
        <w:rPr>
          <w:rFonts w:ascii="Times New Roman" w:hAnsi="Times New Roman"/>
          <w:b/>
          <w:i w:val="0"/>
          <w:color w:val="2F5496"/>
          <w:sz w:val="28"/>
        </w:rPr>
        <w:t>1. What TFP Is</w:t>
      </w:r>
    </w:p>
    <w:p>
      <w:pPr>
        <w:spacing w:after="60"/>
      </w:pPr>
      <w:r>
        <w:rPr>
          <w:rFonts w:ascii="Times New Roman" w:hAnsi="Times New Roman"/>
          <w:b w:val="0"/>
          <w:i w:val="0"/>
          <w:color w:val="000000"/>
          <w:sz w:val="22"/>
        </w:rPr>
        <w:t>TFP (The First Pattern) proposes that successful adaptive systems exhibit a conserved four-phase lifecycle structure — an emergent organizational geometry that systems fall into when learning, growing, or developing. TFP describes this natural structure, not an algorithm to impose on systems.</w:t>
      </w:r>
    </w:p>
    <w:p>
      <w:pPr>
        <w:spacing w:after="60"/>
      </w:pPr>
      <w:r>
        <w:rPr>
          <w:rFonts w:ascii="Times New Roman" w:hAnsi="Times New Roman"/>
          <w:b w:val="0"/>
          <w:i w:val="0"/>
          <w:color w:val="000000"/>
          <w:sz w:val="22"/>
        </w:rPr>
        <w:t>The claim is not that all systems follow TFP, but that systems exhibiting staged lifecycle progression show conserved, non-interchangeable stage functions consistent with TFP's predictions.</w:t>
      </w:r>
    </w:p>
    <w:p>
      <w:pPr>
        <w:spacing w:before="360" w:after="120"/>
      </w:pPr>
      <w:r>
        <w:rPr>
          <w:rFonts w:ascii="Times New Roman" w:hAnsi="Times New Roman"/>
          <w:b/>
          <w:i w:val="0"/>
          <w:color w:val="2F5496"/>
          <w:sz w:val="28"/>
        </w:rPr>
        <w:t>2. The Four Information Operators</w:t>
      </w:r>
    </w:p>
    <w:p>
      <w:pPr>
        <w:spacing w:after="60"/>
      </w:pPr>
      <w:r>
        <w:rPr>
          <w:rFonts w:ascii="Times New Roman" w:hAnsi="Times New Roman"/>
          <w:b w:val="0"/>
          <w:i w:val="0"/>
          <w:color w:val="000000"/>
          <w:sz w:val="22"/>
        </w:rPr>
        <w:t>TFP identifies two primitive operator types — Bind and Explore — each with two orientations (internal and external), yielding four fundamental information operators.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Operator</w:t>
            </w:r>
          </w:p>
        </w:tc>
        <w:tc>
          <w:tcPr>
            <w:tcW w:type="dxa" w:w="2880"/>
            <w:shd w:fill="D9E2F3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Symbol</w:t>
            </w:r>
          </w:p>
        </w:tc>
        <w:tc>
          <w:tcPr>
            <w:tcW w:type="dxa" w:w="2880"/>
            <w:shd w:fill="D9E2F3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Bind_in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B_in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Internal binding and stabilization. The system forms a stable local reference point — compressing and consolidating what it has in immediate space.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Explore_out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E_out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External exploration and coupling. The system opens its boundary to receive from outside — scanning, gathering, and engaging with external sources.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Explore_in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E_in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Internal exploration and transformation. The system refines, narrows, and integrates internally — observing and reorganizing its own contents.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Bind_out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B_out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External binding and commitment. The system commits irreversibly to a larger structural alignment — expanding its pattern outward across an external boundary.</w:t>
            </w:r>
          </w:p>
        </w:tc>
      </w:tr>
    </w:tbl>
    <w:p/>
    <w:p>
      <w:pPr>
        <w:spacing w:after="60"/>
      </w:pPr>
      <w:r>
        <w:rPr>
          <w:rFonts w:ascii="Times New Roman" w:hAnsi="Times New Roman"/>
          <w:b/>
          <w:i w:val="0"/>
          <w:color w:val="000000"/>
          <w:sz w:val="22"/>
        </w:rPr>
        <w:t xml:space="preserve">Key distinction — Bind_in vs Bind_out. </w:t>
      </w:r>
      <w:r>
        <w:rPr>
          <w:rFonts w:ascii="Times New Roman" w:hAnsi="Times New Roman"/>
          <w:b w:val="0"/>
          <w:i w:val="0"/>
          <w:color w:val="000000"/>
          <w:sz w:val="22"/>
        </w:rPr>
        <w:t>Bind_in is local consolidation (stabilize what you have). Bind_out is larger-scale structural commitment (expand pattern into the world). The natural progression: after local stability, the system attempts alignment at a larger scale.</w:t>
      </w:r>
    </w:p>
    <w:p>
      <w:pPr>
        <w:spacing w:before="360" w:after="120"/>
      </w:pPr>
      <w:r>
        <w:rPr>
          <w:rFonts w:ascii="Times New Roman" w:hAnsi="Times New Roman"/>
          <w:b/>
          <w:i w:val="0"/>
          <w:color w:val="2F5496"/>
          <w:sz w:val="28"/>
        </w:rPr>
        <w:t>3. The Four Quadrants</w:t>
      </w:r>
    </w:p>
    <w:p>
      <w:pPr>
        <w:spacing w:after="60"/>
      </w:pPr>
      <w:r>
        <w:rPr>
          <w:rFonts w:ascii="Times New Roman" w:hAnsi="Times New Roman"/>
          <w:b w:val="0"/>
          <w:i w:val="0"/>
          <w:color w:val="000000"/>
          <w:sz w:val="22"/>
        </w:rPr>
        <w:t>Each quadrant is defined by an entry operator and an exit operator. The order matters — the entry operator activates first, followed by the exit operator.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Quadrant</w:t>
            </w:r>
          </w:p>
        </w:tc>
        <w:tc>
          <w:tcPr>
            <w:tcW w:type="dxa" w:w="2160"/>
            <w:shd w:fill="D9E2F3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Entry</w:t>
            </w:r>
          </w:p>
        </w:tc>
        <w:tc>
          <w:tcPr>
            <w:tcW w:type="dxa" w:w="2160"/>
            <w:shd w:fill="D9E2F3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Exit</w:t>
            </w:r>
          </w:p>
        </w:tc>
        <w:tc>
          <w:tcPr>
            <w:tcW w:type="dxa" w:w="2160"/>
            <w:shd w:fill="D9E2F3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Function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Q1 (Potential)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Bind_in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Explore_in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Concentrated potential, centering, stabilization before action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Q2 (Selection)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Explore_out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Bind_in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Selection by environment, recognition, alignment, filtering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Q3 (Transformation)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Explore_in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Bind_out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Transformation where separate elements become one new thing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Q4 (Deployment)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Bind_out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Explore_out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Outward propagation, spread, replication of pattern</w:t>
            </w:r>
          </w:p>
        </w:tc>
      </w:tr>
    </w:tbl>
    <w:p/>
    <w:p>
      <w:pPr>
        <w:spacing w:after="60"/>
      </w:pPr>
      <w:r>
        <w:rPr>
          <w:rFonts w:ascii="Times New Roman" w:hAnsi="Times New Roman"/>
          <w:b w:val="0"/>
          <w:i w:val="0"/>
          <w:color w:val="000000"/>
          <w:sz w:val="22"/>
        </w:rPr>
        <w:t>Q4 splits into two sub-modes:</w:t>
      </w:r>
    </w:p>
    <w:p>
      <w:pPr>
        <w:pStyle w:val="ListBullet"/>
        <w:spacing w:after="40"/>
      </w:pPr>
      <w:r>
        <w:rPr>
          <w:rFonts w:ascii="Times New Roman" w:hAnsi="Times New Roman"/>
          <w:b/>
          <w:i w:val="0"/>
          <w:color w:val="000000"/>
          <w:sz w:val="22"/>
        </w:rPr>
        <w:t xml:space="preserve">Q4A (Continuation): </w:t>
      </w:r>
      <w:r>
        <w:rPr>
          <w:rFonts w:ascii="Times New Roman" w:hAnsi="Times New Roman"/>
          <w:b w:val="0"/>
          <w:i w:val="0"/>
          <w:color w:val="000000"/>
          <w:sz w:val="22"/>
        </w:rPr>
        <w:t>Successful pattern repeats; local propagation loop.</w:t>
      </w:r>
    </w:p>
    <w:p>
      <w:pPr>
        <w:pStyle w:val="ListBullet"/>
        <w:spacing w:after="40"/>
      </w:pPr>
      <w:r>
        <w:rPr>
          <w:rFonts w:ascii="Times New Roman" w:hAnsi="Times New Roman"/>
          <w:b/>
          <w:i w:val="0"/>
          <w:color w:val="000000"/>
          <w:sz w:val="22"/>
        </w:rPr>
        <w:t xml:space="preserve">Q4B (Reorientation): </w:t>
      </w:r>
      <w:r>
        <w:rPr>
          <w:rFonts w:ascii="Times New Roman" w:hAnsi="Times New Roman"/>
          <w:b w:val="0"/>
          <w:i w:val="0"/>
          <w:color w:val="000000"/>
          <w:sz w:val="22"/>
        </w:rPr>
        <w:t>Pattern exhaustion triggers reset to a new Q1.</w:t>
      </w:r>
    </w:p>
    <w:p>
      <w:pPr>
        <w:spacing w:before="240" w:after="80"/>
      </w:pPr>
      <w:r>
        <w:rPr>
          <w:rFonts w:ascii="Times New Roman" w:hAnsi="Times New Roman"/>
          <w:b/>
          <w:i w:val="0"/>
          <w:color w:val="2F5496"/>
          <w:sz w:val="24"/>
        </w:rPr>
        <w:t>3.1 Stability Gates</w:t>
      </w:r>
    </w:p>
    <w:p>
      <w:pPr>
        <w:spacing w:after="60"/>
      </w:pPr>
      <w:r>
        <w:rPr>
          <w:rFonts w:ascii="Times New Roman" w:hAnsi="Times New Roman"/>
          <w:b w:val="0"/>
          <w:i w:val="0"/>
          <w:color w:val="000000"/>
          <w:sz w:val="22"/>
        </w:rPr>
        <w:t>Each quadrant functions as a stability gate. The system requires minimum viable stability at each stage to progress. Each quadrant has its own kind of stability, not a universal threshold. Each quadrant's output becomes the input for the next: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 w:val="0"/>
          <w:color w:val="000000"/>
          <w:sz w:val="22"/>
        </w:rPr>
        <w:t>Q1's stable base is what Q2 works with.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 w:val="0"/>
          <w:color w:val="000000"/>
          <w:sz w:val="22"/>
        </w:rPr>
        <w:t>Q2's consolidated findings feed Q3.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 w:val="0"/>
          <w:color w:val="000000"/>
          <w:sz w:val="22"/>
        </w:rPr>
        <w:t>Q3's actualized potential feeds Q4.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 w:val="0"/>
          <w:color w:val="000000"/>
          <w:sz w:val="22"/>
        </w:rPr>
        <w:t>Q4's deployment either continues (Q4A) or reseeds Q1 (Q4B).</w:t>
      </w:r>
    </w:p>
    <w:p>
      <w:pPr>
        <w:spacing w:before="240" w:after="80"/>
      </w:pPr>
      <w:r>
        <w:rPr>
          <w:rFonts w:ascii="Times New Roman" w:hAnsi="Times New Roman"/>
          <w:b/>
          <w:i w:val="0"/>
          <w:color w:val="2F5496"/>
          <w:sz w:val="24"/>
        </w:rPr>
        <w:t>3.2 Process vs Contextual Quadrants</w:t>
      </w:r>
    </w:p>
    <w:p>
      <w:pPr>
        <w:pStyle w:val="ListBullet"/>
        <w:spacing w:after="40"/>
      </w:pPr>
      <w:r>
        <w:rPr>
          <w:rFonts w:ascii="Times New Roman" w:hAnsi="Times New Roman"/>
          <w:b/>
          <w:i w:val="0"/>
          <w:color w:val="000000"/>
          <w:sz w:val="22"/>
        </w:rPr>
        <w:t xml:space="preserve">Process quadrants (Q2, Q3): </w:t>
      </w:r>
      <w:r>
        <w:rPr>
          <w:rFonts w:ascii="Times New Roman" w:hAnsi="Times New Roman"/>
          <w:b w:val="0"/>
          <w:i w:val="0"/>
          <w:color w:val="000000"/>
          <w:sz w:val="22"/>
        </w:rPr>
        <w:t>Their behavioral processes are externally visible and directly measurable. Empirically, these are the easiest stages to detect.</w:t>
      </w:r>
    </w:p>
    <w:p>
      <w:pPr>
        <w:pStyle w:val="ListBullet"/>
        <w:spacing w:after="40"/>
      </w:pPr>
      <w:r>
        <w:rPr>
          <w:rFonts w:ascii="Times New Roman" w:hAnsi="Times New Roman"/>
          <w:b/>
          <w:i w:val="0"/>
          <w:color w:val="000000"/>
          <w:sz w:val="22"/>
        </w:rPr>
        <w:t xml:space="preserve">Contextual quadrants (Q1, Q4): </w:t>
      </w:r>
      <w:r>
        <w:rPr>
          <w:rFonts w:ascii="Times New Roman" w:hAnsi="Times New Roman"/>
          <w:b w:val="0"/>
          <w:i w:val="0"/>
          <w:color w:val="000000"/>
          <w:sz w:val="22"/>
        </w:rPr>
        <w:t>Their processes are internal and contextual — they establish conditions for the process quadrants but produce weaker, more diffuse behavioral signatures. Q1 and Q4 are harder to measure directly.</w:t>
      </w:r>
    </w:p>
    <w:p>
      <w:pPr>
        <w:spacing w:before="240" w:after="80"/>
      </w:pPr>
      <w:r>
        <w:rPr>
          <w:rFonts w:ascii="Times New Roman" w:hAnsi="Times New Roman"/>
          <w:b/>
          <w:i w:val="0"/>
          <w:color w:val="2F5496"/>
          <w:sz w:val="24"/>
        </w:rPr>
        <w:t>3.3 Subject/Object Dynamics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 w:val="0"/>
          <w:color w:val="000000"/>
          <w:sz w:val="22"/>
        </w:rPr>
        <w:t>Q1 is the subject's domain (the initiating entity has direction and intentionality).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 w:val="0"/>
          <w:color w:val="000000"/>
          <w:sz w:val="22"/>
        </w:rPr>
        <w:t>Q2 flips to the object's domain (the environment or receiving entity does the selecting).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 w:val="0"/>
          <w:color w:val="000000"/>
          <w:sz w:val="22"/>
        </w:rPr>
        <w:t>From Q2 onward, a dominant/recessive dynamic emerges — one pole leads while the other follows.</w:t>
      </w:r>
    </w:p>
    <w:p>
      <w:pPr>
        <w:spacing w:before="240" w:after="80"/>
      </w:pPr>
      <w:r>
        <w:rPr>
          <w:rFonts w:ascii="Times New Roman" w:hAnsi="Times New Roman"/>
          <w:b/>
          <w:i w:val="0"/>
          <w:color w:val="2F5496"/>
          <w:sz w:val="24"/>
        </w:rPr>
        <w:t>3.4 Q3 as Fusion</w:t>
      </w:r>
    </w:p>
    <w:p>
      <w:pPr>
        <w:spacing w:after="60"/>
      </w:pPr>
      <w:r>
        <w:rPr>
          <w:rFonts w:ascii="Times New Roman" w:hAnsi="Times New Roman"/>
          <w:b w:val="0"/>
          <w:i w:val="0"/>
          <w:color w:val="000000"/>
          <w:sz w:val="22"/>
        </w:rPr>
        <w:t>Q3 does not merely recombine. It takes the two stabilized elements from Q1 and Q2 (subject and object, both now bound), creates a space of potential where they co-exist, and then Bind_out fills that potential with manifested structure. This is why Q3 represents fusion, transformation, and creation.</w:t>
      </w:r>
    </w:p>
    <w:p>
      <w:pPr>
        <w:spacing w:before="240" w:after="80"/>
      </w:pPr>
      <w:r>
        <w:rPr>
          <w:rFonts w:ascii="Times New Roman" w:hAnsi="Times New Roman"/>
          <w:b/>
          <w:i w:val="0"/>
          <w:color w:val="2F5496"/>
          <w:sz w:val="24"/>
        </w:rPr>
        <w:t>3.5 Q4A and Q4B Energy</w:t>
      </w:r>
    </w:p>
    <w:p>
      <w:pPr>
        <w:pStyle w:val="ListBullet"/>
        <w:spacing w:after="40"/>
      </w:pPr>
      <w:r>
        <w:rPr>
          <w:rFonts w:ascii="Times New Roman" w:hAnsi="Times New Roman"/>
          <w:b/>
          <w:i w:val="0"/>
          <w:color w:val="000000"/>
          <w:sz w:val="22"/>
        </w:rPr>
        <w:t xml:space="preserve">Q4A energy is concentrated </w:t>
      </w:r>
      <w:r>
        <w:rPr>
          <w:rFonts w:ascii="Times New Roman" w:hAnsi="Times New Roman"/>
          <w:b w:val="0"/>
          <w:i w:val="0"/>
          <w:color w:val="000000"/>
          <w:sz w:val="22"/>
        </w:rPr>
        <w:t>— like a magnifying glass at its focal point. Precise, powerful, local. This concentration is what enables Q4A to propagate and replicate the pattern.</w:t>
      </w:r>
    </w:p>
    <w:p>
      <w:pPr>
        <w:pStyle w:val="ListBullet"/>
        <w:spacing w:after="40"/>
      </w:pPr>
      <w:r>
        <w:rPr>
          <w:rFonts w:ascii="Times New Roman" w:hAnsi="Times New Roman"/>
          <w:b/>
          <w:i w:val="0"/>
          <w:color w:val="000000"/>
          <w:sz w:val="22"/>
        </w:rPr>
        <w:t xml:space="preserve">Q4B energy is dispersed </w:t>
      </w:r>
      <w:r>
        <w:rPr>
          <w:rFonts w:ascii="Times New Roman" w:hAnsi="Times New Roman"/>
          <w:b w:val="0"/>
          <w:i w:val="0"/>
          <w:color w:val="000000"/>
          <w:sz w:val="22"/>
        </w:rPr>
        <w:t>— like a magnifying glass pulled back from focus. Diffuse, spread out. This naturally occurs when Q4A concentration cannot be sustained. Energy disperses and the system opens up to reorient.</w:t>
      </w:r>
    </w:p>
    <w:p>
      <w:pPr>
        <w:spacing w:before="360" w:after="120"/>
      </w:pPr>
      <w:r>
        <w:rPr>
          <w:rFonts w:ascii="Times New Roman" w:hAnsi="Times New Roman"/>
          <w:b/>
          <w:i w:val="0"/>
          <w:color w:val="2F5496"/>
          <w:sz w:val="28"/>
        </w:rPr>
        <w:t>4. The Information Emergence Cycle (IEC)</w:t>
      </w:r>
    </w:p>
    <w:p>
      <w:pPr>
        <w:spacing w:after="60"/>
      </w:pPr>
      <w:r>
        <w:rPr>
          <w:rFonts w:ascii="Times New Roman" w:hAnsi="Times New Roman"/>
          <w:b w:val="0"/>
          <w:i w:val="0"/>
          <w:color w:val="000000"/>
          <w:sz w:val="22"/>
        </w:rPr>
        <w:t>The IEC is TFP's primary validated structure. It describes the lifecycle as a fixed, invariant pattern of moves: Q1 → Q2 → Q3 → Q4, with Q4 either continuing (Q4A) or reseeding (Q4B → Q1).</w:t>
      </w:r>
    </w:p>
    <w:p>
      <w:pPr>
        <w:spacing w:after="60"/>
      </w:pPr>
      <w:r>
        <w:rPr>
          <w:rFonts w:ascii="Times New Roman" w:hAnsi="Times New Roman"/>
          <w:b/>
          <w:i w:val="0"/>
          <w:color w:val="000000"/>
          <w:sz w:val="22"/>
        </w:rPr>
        <w:t>Key properties: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 w:val="0"/>
          <w:color w:val="000000"/>
          <w:sz w:val="22"/>
        </w:rPr>
        <w:t>The IEC is a fixed structure — it repeats the same way every time. It is the shell, not the contents.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 w:val="0"/>
          <w:color w:val="000000"/>
          <w:sz w:val="22"/>
        </w:rPr>
        <w:t>Analogy: The cardiovascular system (heart → arteries → capillaries → veins → heart) does not change over a lifetime. The structure stays the same. What changes is the blood flowing through it.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 w:val="0"/>
          <w:color w:val="000000"/>
          <w:sz w:val="22"/>
        </w:rPr>
        <w:t>The IEC is information-based, observer-perspective, outside-in.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 w:val="0"/>
          <w:color w:val="000000"/>
          <w:sz w:val="22"/>
        </w:rPr>
        <w:t>Q4B is the beginning and end of the IEC cycle.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 w:val="0"/>
          <w:color w:val="000000"/>
          <w:sz w:val="22"/>
        </w:rPr>
        <w:t>This is the structure validated by Papers 4 and 5.</w:t>
      </w:r>
    </w:p>
    <w:p>
      <w:pPr>
        <w:spacing w:after="60"/>
      </w:pPr>
      <w:r>
        <w:rPr>
          <w:rFonts w:ascii="Times New Roman" w:hAnsi="Times New Roman"/>
          <w:b/>
          <w:i w:val="0"/>
          <w:color w:val="000000"/>
          <w:sz w:val="22"/>
        </w:rPr>
        <w:t xml:space="preserve">Empirical detectability ranking </w:t>
      </w:r>
      <w:r>
        <w:rPr>
          <w:rFonts w:ascii="Times New Roman" w:hAnsi="Times New Roman"/>
          <w:b w:val="0"/>
          <w:i w:val="0"/>
          <w:color w:val="000000"/>
          <w:sz w:val="22"/>
        </w:rPr>
        <w:t>(weakest to strongest): Q4B → Q1 → Q3 → Q4A → Q2.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ec_cyc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Figure 1. </w:t>
      </w:r>
      <w:r>
        <w:rPr>
          <w:rFonts w:ascii="Times New Roman" w:hAnsi="Times New Roman"/>
          <w:b w:val="0"/>
          <w:i/>
          <w:color w:val="000000"/>
          <w:sz w:val="20"/>
        </w:rPr>
        <w:t>The Information Emergence Cycle (IEC). The invariant four-phase lifecycle proceeds Q1 → Q2 → Q3 → Q4, with Q4 branching into continuation (Q4A) or reorientation (Q4B → Q1).</w:t>
      </w:r>
    </w:p>
    <w:p>
      <w:pPr>
        <w:spacing w:before="360" w:after="120"/>
      </w:pPr>
      <w:r>
        <w:rPr>
          <w:rFonts w:ascii="Times New Roman" w:hAnsi="Times New Roman"/>
          <w:b/>
          <w:i w:val="0"/>
          <w:color w:val="2F5496"/>
          <w:sz w:val="28"/>
        </w:rPr>
        <w:t>5. The Energy Integration Loop (EIL)</w:t>
      </w:r>
    </w:p>
    <w:p>
      <w:pPr>
        <w:spacing w:after="120"/>
      </w:pPr>
      <w:r>
        <w:rPr>
          <w:rFonts w:ascii="Times New Roman" w:hAnsi="Times New Roman"/>
          <w:b/>
          <w:i/>
          <w:color w:val="000000"/>
          <w:sz w:val="22"/>
        </w:rPr>
        <w:t>Status: Not yet validated. The following is theoretical.</w:t>
      </w:r>
    </w:p>
    <w:p>
      <w:pPr>
        <w:spacing w:after="60"/>
      </w:pPr>
      <w:r>
        <w:rPr>
          <w:rFonts w:ascii="Times New Roman" w:hAnsi="Times New Roman"/>
          <w:b w:val="0"/>
          <w:i w:val="0"/>
          <w:color w:val="000000"/>
          <w:sz w:val="22"/>
        </w:rPr>
        <w:t>The EIL is TFP's second proposed loop structure, complementary to the IEC. Where the IEC is information-based and observer-perspective (outside-in), the EIL is energy-based and decider-perspective (inside-out). Q4A is the beginning and end of the EIL cycle.</w:t>
      </w:r>
    </w:p>
    <w:p>
      <w:pPr>
        <w:spacing w:after="60"/>
      </w:pPr>
      <w:r>
        <w:rPr>
          <w:rFonts w:ascii="Times New Roman" w:hAnsi="Times New Roman"/>
          <w:b/>
          <w:i w:val="0"/>
          <w:color w:val="000000"/>
          <w:sz w:val="22"/>
        </w:rPr>
        <w:t>Key properties: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 w:val="0"/>
          <w:color w:val="000000"/>
          <w:sz w:val="22"/>
        </w:rPr>
        <w:t>EIL is rare and conditional. It requires sufficient energy and alignment to activate. Most systems run IEC most of the time. EIL activates when things are working — during successful deployment and propagation.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 w:val="0"/>
          <w:color w:val="000000"/>
          <w:sz w:val="22"/>
        </w:rPr>
        <w:t>EIL has a flipping/merging dynamic: subject and object merge, flip, separate, and merge again. This continues as long as energy is sufficient. When energy drops, the system falls back to Q4B and IEC.</w:t>
      </w:r>
    </w:p>
    <w:p>
      <w:pPr>
        <w:spacing w:before="240" w:after="80"/>
      </w:pPr>
      <w:r>
        <w:rPr>
          <w:rFonts w:ascii="Times New Roman" w:hAnsi="Times New Roman"/>
          <w:b/>
          <w:i w:val="0"/>
          <w:color w:val="2F5496"/>
          <w:sz w:val="24"/>
        </w:rPr>
        <w:t>5.1 IEC vs EIL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Property</w:t>
            </w:r>
          </w:p>
        </w:tc>
        <w:tc>
          <w:tcPr>
            <w:tcW w:type="dxa" w:w="2880"/>
            <w:shd w:fill="D9E2F3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IEC</w:t>
            </w:r>
          </w:p>
        </w:tc>
        <w:tc>
          <w:tcPr>
            <w:tcW w:type="dxa" w:w="2880"/>
            <w:shd w:fill="D9E2F3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EIL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Perspective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Observer (3rd person)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Decider (1st person)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Direction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Outside → in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Inside → out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Substance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Information-based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Energy-based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Anchor quadrant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Q4B (reorient)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Q4A (propagate)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Frequency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Common (default mode)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Rare (requires prior IEC success)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External signature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High variability, visible transitions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Low variability, stable repetition</w:t>
            </w:r>
          </w:p>
        </w:tc>
      </w:tr>
    </w:tbl>
    <w:p/>
    <w:p>
      <w:pPr>
        <w:spacing w:after="60"/>
      </w:pPr>
      <w:r>
        <w:rPr>
          <w:rFonts w:ascii="Times New Roman" w:hAnsi="Times New Roman"/>
          <w:b/>
          <w:i w:val="0"/>
          <w:color w:val="000000"/>
          <w:sz w:val="22"/>
        </w:rPr>
        <w:t xml:space="preserve">Co-existence. </w:t>
      </w:r>
      <w:r>
        <w:rPr>
          <w:rFonts w:ascii="Times New Roman" w:hAnsi="Times New Roman"/>
          <w:b w:val="0"/>
          <w:i w:val="0"/>
          <w:color w:val="000000"/>
          <w:sz w:val="22"/>
        </w:rPr>
        <w:t>IEC and EIL are not sequential. They are co-existing structures — always both present. IEC is the circulatory structure (invariant pattern). EIL is the blood flowing through it (variable energy). One cannot exist without the other.</w:t>
      </w:r>
    </w:p>
    <w:p>
      <w:pPr>
        <w:spacing w:after="60"/>
      </w:pPr>
      <w:r>
        <w:rPr>
          <w:rFonts w:ascii="Times New Roman" w:hAnsi="Times New Roman"/>
          <w:b/>
          <w:i w:val="0"/>
          <w:color w:val="000000"/>
          <w:sz w:val="22"/>
        </w:rPr>
        <w:t xml:space="preserve">Speed inversion. </w:t>
      </w:r>
      <w:r>
        <w:rPr>
          <w:rFonts w:ascii="Times New Roman" w:hAnsi="Times New Roman"/>
          <w:b w:val="0"/>
          <w:i w:val="0"/>
          <w:color w:val="000000"/>
          <w:sz w:val="22"/>
        </w:rPr>
        <w:t>IEC is externally fast (visible transitions) but internally slow (each stage builds stability sequentially). EIL is externally slow (stable repetition) but internally fast (uses compressed memory of prior IEC processes).</w:t>
      </w:r>
    </w:p>
    <w:p>
      <w:pPr>
        <w:spacing w:before="360" w:after="120"/>
      </w:pPr>
      <w:r>
        <w:rPr>
          <w:rFonts w:ascii="Times New Roman" w:hAnsi="Times New Roman"/>
          <w:b/>
          <w:i w:val="0"/>
          <w:color w:val="2F5496"/>
          <w:sz w:val="28"/>
        </w:rPr>
        <w:t>6. Structural Properties</w:t>
      </w:r>
    </w:p>
    <w:p>
      <w:pPr>
        <w:spacing w:before="240" w:after="80"/>
      </w:pPr>
      <w:r>
        <w:rPr>
          <w:rFonts w:ascii="Times New Roman" w:hAnsi="Times New Roman"/>
          <w:b/>
          <w:i w:val="0"/>
          <w:color w:val="2F5496"/>
          <w:sz w:val="24"/>
        </w:rPr>
        <w:t>6.1 Space/Time Ratio</w:t>
      </w:r>
    </w:p>
    <w:p>
      <w:pPr>
        <w:spacing w:after="60"/>
      </w:pPr>
      <w:r>
        <w:rPr>
          <w:rFonts w:ascii="Times New Roman" w:hAnsi="Times New Roman"/>
          <w:b w:val="0"/>
          <w:i w:val="0"/>
          <w:color w:val="000000"/>
          <w:sz w:val="22"/>
        </w:rPr>
        <w:t>The ratio of structured/committed behavior to open/exploratory behavior shifts across the lifecycle: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Quadrant</w:t>
            </w:r>
          </w:p>
        </w:tc>
        <w:tc>
          <w:tcPr>
            <w:tcW w:type="dxa" w:w="2160"/>
            <w:shd w:fill="D9E2F3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Space</w:t>
            </w:r>
          </w:p>
        </w:tc>
        <w:tc>
          <w:tcPr>
            <w:tcW w:type="dxa" w:w="2160"/>
            <w:shd w:fill="D9E2F3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Time</w:t>
            </w:r>
          </w:p>
        </w:tc>
        <w:tc>
          <w:tcPr>
            <w:tcW w:type="dxa" w:w="2160"/>
            <w:shd w:fill="D9E2F3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Character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Q1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1%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99%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All potential, no structure. Tiny seed with infinite possibilities.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Q2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Shifting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Shifting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Selecting, filtering potential into structure.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Q3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Shifting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Shifting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Fusing, transforming into committed form.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Q4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99%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1%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All structure, no potential. Fully committed, fully deployed.</w:t>
            </w:r>
          </w:p>
        </w:tc>
      </w:tr>
    </w:tbl>
    <w:p/>
    <w:p>
      <w:pPr>
        <w:spacing w:after="60"/>
      </w:pPr>
      <w:r>
        <w:rPr>
          <w:rFonts w:ascii="Times New Roman" w:hAnsi="Times New Roman"/>
          <w:b w:val="0"/>
          <w:i w:val="0"/>
          <w:color w:val="000000"/>
          <w:sz w:val="22"/>
        </w:rPr>
        <w:t>At Q4B → Q1, the ratio resets.</w:t>
      </w:r>
    </w:p>
    <w:p>
      <w:pPr>
        <w:spacing w:before="240" w:after="80"/>
      </w:pPr>
      <w:r>
        <w:rPr>
          <w:rFonts w:ascii="Times New Roman" w:hAnsi="Times New Roman"/>
          <w:b/>
          <w:i w:val="0"/>
          <w:color w:val="2F5496"/>
          <w:sz w:val="24"/>
        </w:rPr>
        <w:t>6.2 Q2 and Q4B Polarity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 w:val="0"/>
          <w:color w:val="000000"/>
          <w:sz w:val="22"/>
        </w:rPr>
        <w:t>Q2 is the most fundamental energy expression of the IEC.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 w:val="0"/>
          <w:color w:val="000000"/>
          <w:sz w:val="22"/>
        </w:rPr>
        <w:t>Q4B is the most fundamental information expression of the IEC.</w:t>
      </w:r>
    </w:p>
    <w:p>
      <w:pPr>
        <w:spacing w:after="60"/>
      </w:pPr>
      <w:r>
        <w:rPr>
          <w:rFonts w:ascii="Times New Roman" w:hAnsi="Times New Roman"/>
          <w:b w:val="0"/>
          <w:i w:val="0"/>
          <w:color w:val="000000"/>
          <w:sz w:val="22"/>
        </w:rPr>
        <w:t>They are two sides of the same coin — the beginning and end of the information emergence cycle.</w:t>
      </w:r>
    </w:p>
    <w:p>
      <w:pPr>
        <w:spacing w:before="360" w:after="120"/>
      </w:pPr>
      <w:r>
        <w:rPr>
          <w:rFonts w:ascii="Times New Roman" w:hAnsi="Times New Roman"/>
          <w:b/>
          <w:i w:val="0"/>
          <w:color w:val="2F5496"/>
          <w:sz w:val="28"/>
        </w:rPr>
        <w:t>7. Domain Examples</w:t>
      </w:r>
    </w:p>
    <w:p>
      <w:pPr>
        <w:spacing w:after="60"/>
      </w:pPr>
      <w:r>
        <w:rPr>
          <w:rFonts w:ascii="Times New Roman" w:hAnsi="Times New Roman"/>
          <w:b w:val="0"/>
          <w:i w:val="0"/>
          <w:color w:val="000000"/>
          <w:sz w:val="22"/>
        </w:rPr>
        <w:t>TFP's IEC structure appears across multiple domains with consistent operator mappings. The following are proposed mappings — some are well-supported empirically, others are theoretical analogies.</w:t>
      </w:r>
    </w:p>
    <w:p>
      <w:pPr>
        <w:spacing w:before="240" w:after="80"/>
      </w:pPr>
      <w:r>
        <w:rPr>
          <w:rFonts w:ascii="Times New Roman" w:hAnsi="Times New Roman"/>
          <w:b/>
          <w:i w:val="0"/>
          <w:color w:val="2F5496"/>
          <w:sz w:val="24"/>
        </w:rPr>
        <w:t>7.1 Fertilization (Strongest Biological Example)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 w:val="0"/>
          <w:color w:val="000000"/>
          <w:sz w:val="22"/>
        </w:rPr>
        <w:t>Q1: Readiness (sperm capacitation, stabilization).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 w:val="0"/>
          <w:color w:val="000000"/>
          <w:sz w:val="22"/>
        </w:rPr>
        <w:t>Q2: Selection/Binding (egg selects via zona pellucida).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 w:val="0"/>
          <w:color w:val="000000"/>
          <w:sz w:val="22"/>
        </w:rPr>
        <w:t>Q3: Genetic Fusion (pronuclei merge into new entity).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 w:val="0"/>
          <w:color w:val="000000"/>
          <w:sz w:val="22"/>
        </w:rPr>
        <w:t>Q4A: Cell Division (pattern replicates).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 w:val="0"/>
          <w:color w:val="000000"/>
          <w:sz w:val="22"/>
        </w:rPr>
        <w:t>Q4B: Differentiation (cells specialize, new cycle begins).</w:t>
      </w:r>
    </w:p>
    <w:p>
      <w:pPr>
        <w:spacing w:before="240" w:after="80"/>
      </w:pPr>
      <w:r>
        <w:rPr>
          <w:rFonts w:ascii="Times New Roman" w:hAnsi="Times New Roman"/>
          <w:b/>
          <w:i w:val="0"/>
          <w:color w:val="2F5496"/>
          <w:sz w:val="24"/>
        </w:rPr>
        <w:t>7.2 Evolution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 w:val="0"/>
          <w:color w:val="000000"/>
          <w:sz w:val="22"/>
        </w:rPr>
        <w:t>Q1: Genetic variation.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 w:val="0"/>
          <w:color w:val="000000"/>
          <w:sz w:val="22"/>
        </w:rPr>
        <w:t>Q2: Natural selection.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 w:val="0"/>
          <w:color w:val="000000"/>
          <w:sz w:val="22"/>
        </w:rPr>
        <w:t>Q3: Recombination.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 w:val="0"/>
          <w:color w:val="000000"/>
          <w:sz w:val="22"/>
        </w:rPr>
        <w:t>Q4A: Reproduction.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 w:val="0"/>
          <w:color w:val="000000"/>
          <w:sz w:val="22"/>
        </w:rPr>
        <w:t>Q4B: Adaptation.</w:t>
      </w:r>
    </w:p>
    <w:p>
      <w:pPr>
        <w:spacing w:before="240" w:after="80"/>
      </w:pPr>
      <w:r>
        <w:rPr>
          <w:rFonts w:ascii="Times New Roman" w:hAnsi="Times New Roman"/>
          <w:b/>
          <w:i w:val="0"/>
          <w:color w:val="2F5496"/>
          <w:sz w:val="24"/>
        </w:rPr>
        <w:t>7.3 DNA Replication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 w:val="0"/>
          <w:color w:val="000000"/>
          <w:sz w:val="22"/>
        </w:rPr>
        <w:t>Q1: Stable blueprint.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 w:val="0"/>
          <w:color w:val="000000"/>
          <w:sz w:val="22"/>
        </w:rPr>
        <w:t>Q2: Enzyme binding at origin.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 w:val="0"/>
          <w:color w:val="000000"/>
          <w:sz w:val="22"/>
        </w:rPr>
        <w:t>Q3: Nucleotide fusion.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 w:val="0"/>
          <w:color w:val="000000"/>
          <w:sz w:val="22"/>
        </w:rPr>
        <w:t>Q4A: Strand elongation.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 w:val="0"/>
          <w:color w:val="000000"/>
          <w:sz w:val="22"/>
        </w:rPr>
        <w:t>Q4B: Proofreading/reset.</w:t>
      </w:r>
    </w:p>
    <w:p>
      <w:pPr>
        <w:spacing w:before="240" w:after="80"/>
      </w:pPr>
      <w:r>
        <w:rPr>
          <w:rFonts w:ascii="Times New Roman" w:hAnsi="Times New Roman"/>
          <w:b/>
          <w:i w:val="0"/>
          <w:color w:val="2F5496"/>
          <w:sz w:val="24"/>
        </w:rPr>
        <w:t>7.4 Four Fundamental Forces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 w:val="0"/>
          <w:color w:val="000000"/>
          <w:sz w:val="22"/>
        </w:rPr>
        <w:t>Q1 (Potential): Gravity.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 w:val="0"/>
          <w:color w:val="000000"/>
          <w:sz w:val="22"/>
        </w:rPr>
        <w:t>Q2 (Selection): Strong Nuclear Force.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 w:val="0"/>
          <w:color w:val="000000"/>
          <w:sz w:val="22"/>
        </w:rPr>
        <w:t>Q3 (Transformation): Weak Nuclear Force.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 w:val="0"/>
          <w:color w:val="000000"/>
          <w:sz w:val="22"/>
        </w:rPr>
        <w:t>Q4 (Deployment): Electromagnetic Force.</w:t>
      </w:r>
    </w:p>
    <w:p>
      <w:pPr>
        <w:spacing w:before="240" w:after="80"/>
      </w:pPr>
      <w:r>
        <w:rPr>
          <w:rFonts w:ascii="Times New Roman" w:hAnsi="Times New Roman"/>
          <w:b/>
          <w:i w:val="0"/>
          <w:color w:val="2F5496"/>
          <w:sz w:val="24"/>
        </w:rPr>
        <w:t>7.5 Business and Innovation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 w:val="0"/>
          <w:color w:val="000000"/>
          <w:sz w:val="22"/>
        </w:rPr>
        <w:t>Q1: Insight gathering.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 w:val="0"/>
          <w:color w:val="000000"/>
          <w:sz w:val="22"/>
        </w:rPr>
        <w:t>Q2: Team alignment.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 w:val="0"/>
          <w:color w:val="000000"/>
          <w:sz w:val="22"/>
        </w:rPr>
        <w:t>Q3: Product building.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 w:val="0"/>
          <w:color w:val="000000"/>
          <w:sz w:val="22"/>
        </w:rPr>
        <w:t>Q4A: Scaling.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 w:val="0"/>
          <w:color w:val="000000"/>
          <w:sz w:val="22"/>
        </w:rPr>
        <w:t>Q4B: Pivot.</w:t>
      </w:r>
    </w:p>
    <w:p>
      <w:pPr>
        <w:spacing w:before="240" w:after="80"/>
      </w:pPr>
      <w:r>
        <w:rPr>
          <w:rFonts w:ascii="Times New Roman" w:hAnsi="Times New Roman"/>
          <w:b/>
          <w:i w:val="0"/>
          <w:color w:val="2F5496"/>
          <w:sz w:val="24"/>
        </w:rPr>
        <w:t>7.6 Compute Cycle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 w:val="0"/>
          <w:color w:val="000000"/>
          <w:sz w:val="22"/>
        </w:rPr>
        <w:t>Q1: Load/prepare.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 w:val="0"/>
          <w:color w:val="000000"/>
          <w:sz w:val="22"/>
        </w:rPr>
        <w:t>Q2: Memory fetch.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 w:val="0"/>
          <w:color w:val="000000"/>
          <w:sz w:val="22"/>
        </w:rPr>
        <w:t>Q3: Execute/transform.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 w:val="0"/>
          <w:color w:val="000000"/>
          <w:sz w:val="22"/>
        </w:rPr>
        <w:t>Q4A: Store/distribute.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 w:val="0"/>
          <w:color w:val="000000"/>
          <w:sz w:val="22"/>
        </w:rPr>
        <w:t>Q4B: Recompile.</w:t>
      </w:r>
    </w:p>
    <w:p>
      <w:pPr>
        <w:spacing w:before="240" w:after="80"/>
      </w:pPr>
      <w:r>
        <w:rPr>
          <w:rFonts w:ascii="Times New Roman" w:hAnsi="Times New Roman"/>
          <w:b/>
          <w:i w:val="0"/>
          <w:color w:val="2F5496"/>
          <w:sz w:val="24"/>
        </w:rPr>
        <w:t>7.7 Self-Development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 w:val="0"/>
          <w:color w:val="000000"/>
          <w:sz w:val="22"/>
        </w:rPr>
        <w:t>Q1: Inner potential.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 w:val="0"/>
          <w:color w:val="000000"/>
          <w:sz w:val="22"/>
        </w:rPr>
        <w:t>Q2: Path selection.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 w:val="0"/>
          <w:color w:val="000000"/>
          <w:sz w:val="22"/>
        </w:rPr>
        <w:t>Q3: Identity crystallization.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 w:val="0"/>
          <w:color w:val="000000"/>
          <w:sz w:val="22"/>
        </w:rPr>
        <w:t>Q4A: Skill scaling.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 w:val="0"/>
          <w:color w:val="000000"/>
          <w:sz w:val="22"/>
        </w:rPr>
        <w:t>Q4B: Reassessment.</w:t>
      </w:r>
    </w:p>
    <w:p>
      <w:pPr>
        <w:spacing w:before="240" w:after="80"/>
      </w:pPr>
      <w:r>
        <w:rPr>
          <w:rFonts w:ascii="Times New Roman" w:hAnsi="Times New Roman"/>
          <w:b/>
          <w:i w:val="0"/>
          <w:color w:val="2F5496"/>
          <w:sz w:val="24"/>
        </w:rPr>
        <w:t>7.8 Objective Personality (Animals)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 w:val="0"/>
          <w:color w:val="000000"/>
          <w:sz w:val="22"/>
        </w:rPr>
        <w:t>Q1: Sleep.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 w:val="0"/>
          <w:color w:val="000000"/>
          <w:sz w:val="22"/>
        </w:rPr>
        <w:t>Q2: Consume.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 w:val="0"/>
          <w:color w:val="000000"/>
          <w:sz w:val="22"/>
        </w:rPr>
        <w:t>Q3: Blast.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 w:val="0"/>
          <w:color w:val="000000"/>
          <w:sz w:val="22"/>
        </w:rPr>
        <w:t>Q4: Play.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Based on the work of Dave Powers and Shan Renee on Objective Personality, which informed aspects of TFP.</w:t>
      </w:r>
    </w:p>
    <w:p>
      <w:pPr>
        <w:spacing w:before="360" w:after="120"/>
      </w:pPr>
      <w:r>
        <w:rPr>
          <w:rFonts w:ascii="Times New Roman" w:hAnsi="Times New Roman"/>
          <w:b/>
          <w:i w:val="0"/>
          <w:color w:val="2F5496"/>
          <w:sz w:val="28"/>
        </w:rPr>
        <w:t>8. What Has Been Validated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Claim</w:t>
            </w:r>
          </w:p>
        </w:tc>
        <w:tc>
          <w:tcPr>
            <w:tcW w:type="dxa" w:w="2880"/>
            <w:shd w:fill="D9E2F3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Status</w:t>
            </w:r>
          </w:p>
        </w:tc>
        <w:tc>
          <w:tcPr>
            <w:tcW w:type="dxa" w:w="2880"/>
            <w:shd w:fill="D9E2F3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Evidence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4-phase lifecycle structure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Validated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Consistently beats 2/3-state alternatives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Q2→Q3 unidirectional flow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Validated (Paper 4)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AI = -0.92, 4 domains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Q2-Q3 structural opposition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Validated (Paper 4)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rho = -0.75, 100% of 84 individuals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Q4B viability-gated reseeding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Validated (Paper 4)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p = 3.9e-83, 20/20 universal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Q2-Q4 non-interchangeable stage functions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Validated (Paper 5)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#1 of 6 permutations, 92% gap, 4 domains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HMM independent convergence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Validated (Paper 5)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Same binding recovered unsupervised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Dual-memory dissociation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Validated in simulation (Paper A)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Existence proof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Cross-dataset attribution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Validated empirically (Paper B)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Battery data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Depletion-gated reorientation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Validated, scoped (Paper C)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Foraging mechanism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Q1 internal orientation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Not yet validated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Requires process-tracing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Q4A deployment continuation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Not yet validated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Requires multi-stage tracking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EIL dynamics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Not yet validated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Theoretical, hard to measure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B_in independent validation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Partial (3/4 operators tested)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B_in not independently tested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Non-institutional generalization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Not yet tested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Biological/ecological future work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Four-operator irreducibility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Not tested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Is 4 the minimum?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Operator order within quadrants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Not tested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Entry→exit sequence untested</w:t>
            </w:r>
          </w:p>
        </w:tc>
      </w:tr>
    </w:tbl>
    <w:p/>
    <w:p>
      <w:pPr>
        <w:spacing w:before="360" w:after="120"/>
      </w:pPr>
      <w:r>
        <w:rPr>
          <w:rFonts w:ascii="Times New Roman" w:hAnsi="Times New Roman"/>
          <w:b/>
          <w:i w:val="0"/>
          <w:color w:val="2F5496"/>
          <w:sz w:val="28"/>
        </w:rPr>
        <w:t>9. Confidence Hierarchy</w:t>
      </w:r>
    </w:p>
    <w:p>
      <w:pPr>
        <w:spacing w:after="60"/>
      </w:pPr>
      <w:r>
        <w:rPr>
          <w:rFonts w:ascii="Times New Roman" w:hAnsi="Times New Roman"/>
          <w:b w:val="0"/>
          <w:i w:val="0"/>
          <w:color w:val="000000"/>
          <w:sz w:val="22"/>
        </w:rPr>
        <w:t>Ranked from most to least confident: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 w:val="0"/>
          <w:color w:val="000000"/>
          <w:sz w:val="22"/>
        </w:rPr>
        <w:t>The Information Emergence Cycle exists as a conserved structure.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 w:val="0"/>
          <w:color w:val="000000"/>
          <w:sz w:val="22"/>
        </w:rPr>
        <w:t>Four operators produce four distinct quadrants based on operator order.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 w:val="0"/>
          <w:color w:val="000000"/>
          <w:sz w:val="22"/>
        </w:rPr>
        <w:t>Each quadrant involves an entry and exit operator.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 w:val="0"/>
          <w:color w:val="000000"/>
          <w:sz w:val="22"/>
        </w:rPr>
        <w:t>(Lower confidence) The two fundamental loops (IEC and EIL) as co-existing structures.</w:t>
      </w:r>
    </w:p>
    <w:p>
      <w:pPr>
        <w:spacing w:before="360" w:after="120"/>
      </w:pPr>
      <w:r>
        <w:rPr>
          <w:rFonts w:ascii="Times New Roman" w:hAnsi="Times New Roman"/>
          <w:b/>
          <w:i w:val="0"/>
          <w:color w:val="2F5496"/>
          <w:sz w:val="28"/>
        </w:rPr>
        <w:t>10. Epistemological Ordering</w:t>
      </w:r>
    </w:p>
    <w:p>
      <w:pPr>
        <w:spacing w:after="60"/>
      </w:pPr>
      <w:r>
        <w:rPr>
          <w:rFonts w:ascii="Times New Roman" w:hAnsi="Times New Roman"/>
          <w:b w:val="0"/>
          <w:i w:val="0"/>
          <w:color w:val="000000"/>
          <w:sz w:val="22"/>
        </w:rPr>
        <w:t>The correct order for TFP research, established through systematic experimental iteration:</w:t>
      </w:r>
    </w:p>
    <w:p>
      <w:pPr>
        <w:pStyle w:val="ListBullet"/>
        <w:spacing w:after="40"/>
      </w:pPr>
      <w:r>
        <w:rPr>
          <w:rFonts w:ascii="Times New Roman" w:hAnsi="Times New Roman"/>
          <w:b/>
          <w:i w:val="0"/>
          <w:color w:val="000000"/>
          <w:sz w:val="22"/>
        </w:rPr>
        <w:t xml:space="preserve">Invariant: </w:t>
      </w:r>
      <w:r>
        <w:rPr>
          <w:rFonts w:ascii="Times New Roman" w:hAnsi="Times New Roman"/>
          <w:b w:val="0"/>
          <w:i w:val="0"/>
          <w:color w:val="000000"/>
          <w:sz w:val="22"/>
        </w:rPr>
        <w:t>Lock a testable behavioral claim (architecture-independent).</w:t>
      </w:r>
    </w:p>
    <w:p>
      <w:pPr>
        <w:pStyle w:val="ListBullet"/>
        <w:spacing w:after="40"/>
      </w:pPr>
      <w:r>
        <w:rPr>
          <w:rFonts w:ascii="Times New Roman" w:hAnsi="Times New Roman"/>
          <w:b/>
          <w:i w:val="0"/>
          <w:color w:val="000000"/>
          <w:sz w:val="22"/>
        </w:rPr>
        <w:t xml:space="preserve">Mechanism: </w:t>
      </w:r>
      <w:r>
        <w:rPr>
          <w:rFonts w:ascii="Times New Roman" w:hAnsi="Times New Roman"/>
          <w:b w:val="0"/>
          <w:i w:val="0"/>
          <w:color w:val="000000"/>
          <w:sz w:val="22"/>
        </w:rPr>
        <w:t>Identify the abstract behavioral pattern that satisfies the invariant.</w:t>
      </w:r>
    </w:p>
    <w:p>
      <w:pPr>
        <w:pStyle w:val="ListBullet"/>
        <w:spacing w:after="40"/>
      </w:pPr>
      <w:r>
        <w:rPr>
          <w:rFonts w:ascii="Times New Roman" w:hAnsi="Times New Roman"/>
          <w:b/>
          <w:i w:val="0"/>
          <w:color w:val="000000"/>
          <w:sz w:val="22"/>
        </w:rPr>
        <w:t xml:space="preserve">Architecture: </w:t>
      </w:r>
      <w:r>
        <w:rPr>
          <w:rFonts w:ascii="Times New Roman" w:hAnsi="Times New Roman"/>
          <w:b w:val="0"/>
          <w:i w:val="0"/>
          <w:color w:val="000000"/>
          <w:sz w:val="22"/>
        </w:rPr>
        <w:t>Implement the mechanism in specific code.</w:t>
      </w:r>
    </w:p>
    <w:p>
      <w:pPr>
        <w:pStyle w:val="ListBullet"/>
        <w:spacing w:after="40"/>
      </w:pPr>
      <w:r>
        <w:rPr>
          <w:rFonts w:ascii="Times New Roman" w:hAnsi="Times New Roman"/>
          <w:b/>
          <w:i w:val="0"/>
          <w:color w:val="000000"/>
          <w:sz w:val="22"/>
        </w:rPr>
        <w:t xml:space="preserve">Interpretation: </w:t>
      </w:r>
      <w:r>
        <w:rPr>
          <w:rFonts w:ascii="Times New Roman" w:hAnsi="Times New Roman"/>
          <w:b w:val="0"/>
          <w:i w:val="0"/>
          <w:color w:val="000000"/>
          <w:sz w:val="22"/>
        </w:rPr>
        <w:t>Map results back to TFP theory.</w:t>
      </w:r>
    </w:p>
    <w:p>
      <w:pPr>
        <w:spacing w:after="60"/>
      </w:pPr>
      <w:r>
        <w:rPr>
          <w:rFonts w:ascii="Times New Roman" w:hAnsi="Times New Roman"/>
          <w:b/>
          <w:i w:val="0"/>
          <w:color w:val="000000"/>
          <w:sz w:val="22"/>
        </w:rPr>
        <w:t xml:space="preserve">Key principle: </w:t>
      </w:r>
      <w:r>
        <w:rPr>
          <w:rFonts w:ascii="Times New Roman" w:hAnsi="Times New Roman"/>
          <w:b w:val="0"/>
          <w:i w:val="0"/>
          <w:color w:val="000000"/>
          <w:sz w:val="22"/>
        </w:rPr>
        <w:t>Test TFP as emergent geometry (look for it in data), not as a prescriptive algorithm (impose it on agents). Observational studies have consistently succeeded where prescriptive experiments have not.</w:t>
      </w:r>
    </w:p>
    <w:p>
      <w:pPr>
        <w:spacing w:before="360" w:after="120"/>
      </w:pPr>
      <w:r>
        <w:rPr>
          <w:rFonts w:ascii="Times New Roman" w:hAnsi="Times New Roman"/>
          <w:b/>
          <w:i w:val="0"/>
          <w:color w:val="2F5496"/>
          <w:sz w:val="28"/>
        </w:rPr>
        <w:t>11. Open Questions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 w:val="0"/>
          <w:color w:val="000000"/>
          <w:sz w:val="22"/>
        </w:rPr>
        <w:t>Is 4 really the minimum number of phases, or could 3 work?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 w:val="0"/>
          <w:color w:val="000000"/>
          <w:sz w:val="22"/>
        </w:rPr>
        <w:t>Does operator order within quadrants (entry → exit) matter, or just composition?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 w:val="0"/>
          <w:color w:val="000000"/>
          <w:sz w:val="22"/>
        </w:rPr>
        <w:t>Can EIL be measured empirically?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 w:val="0"/>
          <w:color w:val="000000"/>
          <w:sz w:val="22"/>
        </w:rPr>
        <w:t>Is the Q4A/Q4B bifurcation truly binary, or is there a continuum?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 w:val="0"/>
          <w:color w:val="000000"/>
          <w:sz w:val="22"/>
        </w:rPr>
        <w:t>What are the domain boundary conditions — which systems do not show TFP structure?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 w:val="0"/>
          <w:color w:val="000000"/>
          <w:sz w:val="22"/>
        </w:rPr>
        <w:t>How does TFP relate to existing frameworks (explore-exploit, optimal foraging, phase transitions)?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 w:val="0"/>
          <w:color w:val="000000"/>
          <w:sz w:val="22"/>
        </w:rPr>
        <w:t>What is the minimal internal generator that could reproduce TFP's surface invariants?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 w:val="0"/>
          <w:color w:val="000000"/>
          <w:sz w:val="22"/>
        </w:rPr>
        <w:t>What quantitative predictions can TFP make (phase durations, transition probabilities)?</w:t>
      </w:r>
    </w:p>
    <w:p>
      <w:pPr>
        <w:spacing w:before="360" w:after="120"/>
      </w:pPr>
      <w:r>
        <w:rPr>
          <w:rFonts w:ascii="Times New Roman" w:hAnsi="Times New Roman"/>
          <w:b/>
          <w:i w:val="0"/>
          <w:color w:val="2F5496"/>
          <w:sz w:val="28"/>
        </w:rPr>
        <w:t>12. Acknowledgments</w:t>
      </w:r>
    </w:p>
    <w:p>
      <w:pPr>
        <w:spacing w:after="60"/>
      </w:pPr>
      <w:r>
        <w:rPr>
          <w:rFonts w:ascii="Times New Roman" w:hAnsi="Times New Roman"/>
          <w:b w:val="0"/>
          <w:i w:val="0"/>
          <w:color w:val="000000"/>
          <w:sz w:val="22"/>
        </w:rPr>
        <w:t>The author acknowledges the work of Dave Powers and Shan Renee on Objective Personality, which informed aspects of The First Pattern framework.</w:t>
      </w:r>
    </w:p>
    <w:p>
      <w:pPr>
        <w:spacing w:before="480"/>
      </w:pPr>
      <w:r>
        <w:rPr>
          <w:rFonts w:ascii="Times New Roman" w:hAnsi="Times New Roman"/>
          <w:b/>
          <w:i w:val="0"/>
          <w:color w:val="2F5496"/>
          <w:sz w:val="24"/>
        </w:rPr>
        <w:t>Author</w:t>
      </w:r>
    </w:p>
    <w:p>
      <w:r>
        <w:rPr>
          <w:rFonts w:ascii="Times New Roman" w:hAnsi="Times New Roman"/>
          <w:b w:val="0"/>
          <w:i w:val="0"/>
          <w:color w:val="000000"/>
          <w:sz w:val="22"/>
        </w:rPr>
        <w:t>Austin Ollar — ORCID: 0009-0002-9998-9287</w:t>
      </w:r>
    </w:p>
    <w:sectPr w:rsidR="00FC693F" w:rsidRPr="0006063C" w:rsidSect="00034616">
      <w:footerReference w:type="default" r:id="rId10"/>
      <w:pgSz w:w="12240" w:h="15840"/>
      <w:pgMar w:top="1440" w:right="1800" w:bottom="172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64" w:lineRule="exact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