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78D95" w14:textId="73CD9746" w:rsidR="005E349F" w:rsidRDefault="007439B0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bookmarkStart w:id="0" w:name="_Hlk20163766"/>
      <w:r>
        <w:rPr>
          <w:rFonts w:ascii="Consolas" w:eastAsia="Times New Roman" w:hAnsi="Consolas" w:cs="Times New Roman"/>
          <w:color w:val="D4D4D4"/>
          <w:sz w:val="28"/>
          <w:szCs w:val="28"/>
        </w:rPr>
        <w:t xml:space="preserve">Sputnik House </w:t>
      </w:r>
      <w:r w:rsidR="005E349F" w:rsidRPr="00D30117">
        <w:rPr>
          <w:rFonts w:ascii="Consolas" w:eastAsia="Times New Roman" w:hAnsi="Consolas" w:cs="Times New Roman"/>
          <w:color w:val="D4D4D4"/>
          <w:sz w:val="28"/>
          <w:szCs w:val="28"/>
        </w:rPr>
        <w:t>Post-Incident Report</w:t>
      </w:r>
    </w:p>
    <w:p w14:paraId="31315A0F" w14:textId="77777777" w:rsidR="007439B0" w:rsidRPr="00D30117" w:rsidRDefault="007439B0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0117" w:rsidRPr="00D30117" w14:paraId="35D565A6" w14:textId="77777777" w:rsidTr="00AC08F1">
        <w:tc>
          <w:tcPr>
            <w:tcW w:w="4675" w:type="dxa"/>
          </w:tcPr>
          <w:p w14:paraId="18583DFA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>Date of investigation</w:t>
            </w:r>
          </w:p>
        </w:tc>
        <w:tc>
          <w:tcPr>
            <w:tcW w:w="4675" w:type="dxa"/>
          </w:tcPr>
          <w:p w14:paraId="0C4E6069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>Today</w:t>
            </w:r>
          </w:p>
        </w:tc>
      </w:tr>
      <w:tr w:rsidR="00D30117" w:rsidRPr="00D30117" w14:paraId="673D1D51" w14:textId="77777777" w:rsidTr="00AC08F1">
        <w:tc>
          <w:tcPr>
            <w:tcW w:w="4675" w:type="dxa"/>
          </w:tcPr>
          <w:p w14:paraId="56A97269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>Date of incident</w:t>
            </w:r>
          </w:p>
        </w:tc>
        <w:tc>
          <w:tcPr>
            <w:tcW w:w="4675" w:type="dxa"/>
          </w:tcPr>
          <w:p w14:paraId="3D970F92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>2018-08-12</w:t>
            </w:r>
          </w:p>
        </w:tc>
      </w:tr>
      <w:tr w:rsidR="00D30117" w:rsidRPr="00D30117" w14:paraId="29C8AC2F" w14:textId="77777777" w:rsidTr="00AC08F1">
        <w:tc>
          <w:tcPr>
            <w:tcW w:w="4675" w:type="dxa"/>
          </w:tcPr>
          <w:p w14:paraId="2E9A9EFE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>Outcome</w:t>
            </w:r>
          </w:p>
        </w:tc>
        <w:tc>
          <w:tcPr>
            <w:tcW w:w="4675" w:type="dxa"/>
          </w:tcPr>
          <w:p w14:paraId="7CD245B2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>True Positive – Found infection in email</w:t>
            </w:r>
          </w:p>
        </w:tc>
      </w:tr>
      <w:tr w:rsidR="00D30117" w:rsidRPr="00D30117" w14:paraId="4554DAF9" w14:textId="77777777" w:rsidTr="00AC08F1">
        <w:tc>
          <w:tcPr>
            <w:tcW w:w="4675" w:type="dxa"/>
          </w:tcPr>
          <w:p w14:paraId="12825DEB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>Action taken</w:t>
            </w:r>
          </w:p>
        </w:tc>
        <w:tc>
          <w:tcPr>
            <w:tcW w:w="4675" w:type="dxa"/>
          </w:tcPr>
          <w:p w14:paraId="2E59C7DB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>Determined host, identified infected email attachment, and advised reformatting infected machine</w:t>
            </w:r>
          </w:p>
        </w:tc>
      </w:tr>
      <w:tr w:rsidR="00D30117" w:rsidRPr="00D30117" w14:paraId="384D1161" w14:textId="77777777" w:rsidTr="00AC08F1">
        <w:tc>
          <w:tcPr>
            <w:tcW w:w="4675" w:type="dxa"/>
          </w:tcPr>
          <w:p w14:paraId="6361680F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>Reporting took</w:t>
            </w:r>
          </w:p>
        </w:tc>
        <w:tc>
          <w:tcPr>
            <w:tcW w:w="4675" w:type="dxa"/>
          </w:tcPr>
          <w:p w14:paraId="2AE1ECFB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 xml:space="preserve">Alerts and traffic in the pcap using Wireshark, Snort and </w:t>
            </w:r>
            <w:proofErr w:type="spellStart"/>
            <w:r w:rsidRPr="00D30117">
              <w:rPr>
                <w:rFonts w:ascii="Consolas" w:hAnsi="Consolas"/>
                <w:sz w:val="32"/>
                <w:szCs w:val="32"/>
              </w:rPr>
              <w:t>Suratica</w:t>
            </w:r>
            <w:proofErr w:type="spellEnd"/>
          </w:p>
        </w:tc>
      </w:tr>
      <w:tr w:rsidR="00D30117" w:rsidRPr="00D30117" w14:paraId="4CA53FAD" w14:textId="77777777" w:rsidTr="00AC08F1">
        <w:tc>
          <w:tcPr>
            <w:tcW w:w="4675" w:type="dxa"/>
          </w:tcPr>
          <w:p w14:paraId="7FA098EA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>Attack vector</w:t>
            </w:r>
          </w:p>
        </w:tc>
        <w:tc>
          <w:tcPr>
            <w:tcW w:w="4675" w:type="dxa"/>
          </w:tcPr>
          <w:p w14:paraId="4F1751AD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>Email attachment</w:t>
            </w:r>
          </w:p>
        </w:tc>
      </w:tr>
      <w:tr w:rsidR="00D30117" w:rsidRPr="00D30117" w14:paraId="4F8ADE8E" w14:textId="77777777" w:rsidTr="00AC08F1">
        <w:tc>
          <w:tcPr>
            <w:tcW w:w="4675" w:type="dxa"/>
          </w:tcPr>
          <w:p w14:paraId="7A88A3EA" w14:textId="1B531481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 xml:space="preserve">Source </w:t>
            </w:r>
            <w:r>
              <w:rPr>
                <w:rFonts w:ascii="Consolas" w:hAnsi="Consolas"/>
                <w:sz w:val="32"/>
                <w:szCs w:val="32"/>
              </w:rPr>
              <w:t>IP</w:t>
            </w:r>
            <w:r w:rsidRPr="00D30117">
              <w:rPr>
                <w:rFonts w:ascii="Consolas" w:hAnsi="Consolas"/>
                <w:sz w:val="32"/>
                <w:szCs w:val="32"/>
              </w:rPr>
              <w:t>/email</w:t>
            </w:r>
          </w:p>
        </w:tc>
        <w:tc>
          <w:tcPr>
            <w:tcW w:w="4675" w:type="dxa"/>
          </w:tcPr>
          <w:p w14:paraId="67054091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>149.129.222.112</w:t>
            </w:r>
          </w:p>
        </w:tc>
      </w:tr>
      <w:tr w:rsidR="00D30117" w:rsidRPr="00D30117" w14:paraId="6CA87D59" w14:textId="77777777" w:rsidTr="00AC08F1">
        <w:tc>
          <w:tcPr>
            <w:tcW w:w="4675" w:type="dxa"/>
          </w:tcPr>
          <w:p w14:paraId="1D88CC4C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>Source port</w:t>
            </w:r>
          </w:p>
        </w:tc>
        <w:tc>
          <w:tcPr>
            <w:tcW w:w="4675" w:type="dxa"/>
          </w:tcPr>
          <w:p w14:paraId="241249DE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>80</w:t>
            </w:r>
          </w:p>
        </w:tc>
      </w:tr>
      <w:tr w:rsidR="00D30117" w:rsidRPr="00D30117" w14:paraId="42807DB4" w14:textId="77777777" w:rsidTr="00AC08F1">
        <w:tc>
          <w:tcPr>
            <w:tcW w:w="4675" w:type="dxa"/>
          </w:tcPr>
          <w:p w14:paraId="16DDA5E9" w14:textId="1C5EF96E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 xml:space="preserve">Destination </w:t>
            </w:r>
            <w:r>
              <w:rPr>
                <w:rFonts w:ascii="Consolas" w:hAnsi="Consolas"/>
                <w:sz w:val="32"/>
                <w:szCs w:val="32"/>
              </w:rPr>
              <w:t>IP</w:t>
            </w:r>
            <w:r w:rsidRPr="00D30117">
              <w:rPr>
                <w:rFonts w:ascii="Consolas" w:hAnsi="Consolas"/>
                <w:sz w:val="32"/>
                <w:szCs w:val="32"/>
              </w:rPr>
              <w:t>/email</w:t>
            </w:r>
          </w:p>
        </w:tc>
        <w:tc>
          <w:tcPr>
            <w:tcW w:w="4675" w:type="dxa"/>
          </w:tcPr>
          <w:p w14:paraId="5032A8BF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>185.68.93.18</w:t>
            </w:r>
          </w:p>
        </w:tc>
      </w:tr>
      <w:tr w:rsidR="00D30117" w:rsidRPr="00D30117" w14:paraId="27705834" w14:textId="77777777" w:rsidTr="00AC08F1">
        <w:tc>
          <w:tcPr>
            <w:tcW w:w="4675" w:type="dxa"/>
          </w:tcPr>
          <w:p w14:paraId="566345D2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>Destination port</w:t>
            </w:r>
          </w:p>
        </w:tc>
        <w:tc>
          <w:tcPr>
            <w:tcW w:w="4675" w:type="dxa"/>
          </w:tcPr>
          <w:p w14:paraId="397A648D" w14:textId="77777777" w:rsidR="00D30117" w:rsidRPr="00D30117" w:rsidRDefault="00D30117" w:rsidP="00AC08F1">
            <w:pPr>
              <w:rPr>
                <w:rFonts w:ascii="Consolas" w:hAnsi="Consolas"/>
                <w:sz w:val="32"/>
                <w:szCs w:val="32"/>
              </w:rPr>
            </w:pPr>
            <w:r w:rsidRPr="00D30117">
              <w:rPr>
                <w:rFonts w:ascii="Consolas" w:hAnsi="Consolas"/>
                <w:sz w:val="32"/>
                <w:szCs w:val="32"/>
              </w:rPr>
              <w:t>80</w:t>
            </w:r>
          </w:p>
        </w:tc>
      </w:tr>
    </w:tbl>
    <w:p w14:paraId="42DAB0F2" w14:textId="4D58AE37" w:rsidR="005E349F" w:rsidRPr="00D30117" w:rsidRDefault="005E349F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bookmarkStart w:id="1" w:name="_GoBack"/>
      <w:bookmarkEnd w:id="1"/>
    </w:p>
    <w:p w14:paraId="5AC3018A" w14:textId="77777777" w:rsidR="005E349F" w:rsidRPr="00D30117" w:rsidRDefault="005E349F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30117">
        <w:rPr>
          <w:rFonts w:ascii="Consolas" w:eastAsia="Times New Roman" w:hAnsi="Consolas" w:cs="Times New Roman"/>
          <w:color w:val="D4D4D4"/>
          <w:sz w:val="28"/>
          <w:szCs w:val="28"/>
        </w:rPr>
        <w:t>Narrative</w:t>
      </w:r>
    </w:p>
    <w:p w14:paraId="061EEBDE" w14:textId="77777777" w:rsidR="005E349F" w:rsidRPr="00D30117" w:rsidRDefault="005E349F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6B4B6A3B" w14:textId="77777777" w:rsidR="005E349F" w:rsidRPr="00D30117" w:rsidRDefault="005E349F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D30117">
        <w:rPr>
          <w:rFonts w:ascii="Consolas" w:eastAsia="Times New Roman" w:hAnsi="Consolas" w:cs="Times New Roman"/>
          <w:color w:val="D4D4D4"/>
          <w:sz w:val="28"/>
          <w:szCs w:val="28"/>
        </w:rPr>
        <w:t>Both alert files show there was an executable from 149.129.222.112 on the 11</w:t>
      </w:r>
      <w:r w:rsidRPr="00D30117">
        <w:rPr>
          <w:rFonts w:ascii="Consolas" w:eastAsia="Times New Roman" w:hAnsi="Consolas" w:cs="Times New Roman"/>
          <w:color w:val="D4D4D4"/>
          <w:sz w:val="28"/>
          <w:szCs w:val="28"/>
          <w:vertAlign w:val="superscript"/>
        </w:rPr>
        <w:t>th</w:t>
      </w:r>
      <w:r w:rsidRPr="00D30117">
        <w:rPr>
          <w:rFonts w:ascii="Consolas" w:eastAsia="Times New Roman" w:hAnsi="Consolas" w:cs="Times New Roman"/>
          <w:color w:val="D4D4D4"/>
          <w:sz w:val="28"/>
          <w:szCs w:val="28"/>
        </w:rPr>
        <w:t xml:space="preserve"> of August in 2018 at around 05:21. The first two HTTP requests for "1.rar" and "1.zip" do not return any RAR or ZIP archives. The last HTTP request returns a 200 OK with content labeled as "application/octet-stream." If you follow the TCP stream for the last HTTP request for "a3.dat," you'll find an executable file. </w:t>
      </w:r>
    </w:p>
    <w:p w14:paraId="47373752" w14:textId="77777777" w:rsidR="005E349F" w:rsidRPr="00D30117" w:rsidRDefault="005E349F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C520F32" w14:textId="321F23EE" w:rsidR="005E349F" w:rsidRDefault="003E0975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D4D4D4"/>
          <w:sz w:val="28"/>
          <w:szCs w:val="28"/>
        </w:rPr>
        <w:drawing>
          <wp:inline distT="0" distB="0" distL="0" distR="0" wp14:anchorId="0FF8D4B6" wp14:editId="44C0C3AA">
            <wp:extent cx="5943600" cy="12534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2CC3" w14:textId="216C23BC" w:rsidR="003E0975" w:rsidRDefault="003E0975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4CA3B68B" w14:textId="4D3C3F0C" w:rsidR="003E0975" w:rsidRDefault="00C049B0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8"/>
          <w:szCs w:val="28"/>
        </w:rPr>
        <w:t>The HTTP request in the middle returns a 200 OK with it labeled as “application/zip.” When looking at the TCP stream for that request, there is an executable file.</w:t>
      </w:r>
    </w:p>
    <w:p w14:paraId="1B4B9B42" w14:textId="3E8FFC08" w:rsidR="00C049B0" w:rsidRDefault="00C049B0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34C49C91" w14:textId="089B0D21" w:rsidR="00C049B0" w:rsidRDefault="00C049B0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D4D4D4"/>
          <w:sz w:val="28"/>
          <w:szCs w:val="28"/>
        </w:rPr>
        <w:drawing>
          <wp:inline distT="0" distB="0" distL="0" distR="0" wp14:anchorId="76FA69AB" wp14:editId="0957CE89">
            <wp:extent cx="5943600" cy="583120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56AC" w14:textId="5F71B058" w:rsidR="00C049B0" w:rsidRDefault="00C049B0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39BFC3F2" w14:textId="2A524B7E" w:rsidR="00284D98" w:rsidRDefault="00C049B0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8"/>
          <w:szCs w:val="28"/>
        </w:rPr>
        <w:t xml:space="preserve">After exporting the file, the file hash can be searched on </w:t>
      </w:r>
      <w:proofErr w:type="spellStart"/>
      <w:r>
        <w:rPr>
          <w:rFonts w:ascii="Consolas" w:eastAsia="Times New Roman" w:hAnsi="Consolas" w:cs="Times New Roman"/>
          <w:color w:val="D4D4D4"/>
          <w:sz w:val="28"/>
          <w:szCs w:val="28"/>
        </w:rPr>
        <w:t>VirusTotal</w:t>
      </w:r>
      <w:proofErr w:type="spellEnd"/>
      <w:r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="00284D9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After checking the status, there were multiple instances of HTTP traffic over TCP port 80. This triggered the following alerts in the Suricata alert file:</w:t>
      </w:r>
    </w:p>
    <w:p w14:paraId="34FA25B6" w14:textId="246996D4" w:rsidR="00284D98" w:rsidRPr="00284D98" w:rsidRDefault="00284D98" w:rsidP="00284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4D98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• ET INFO GENERIC SUSPICIOUS POST to Dotted Quad with Fake Browser 1</w:t>
      </w:r>
    </w:p>
    <w:p w14:paraId="3226E2B6" w14:textId="3EBE1B89" w:rsidR="00284D98" w:rsidRDefault="00284D98" w:rsidP="00284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84D98">
        <w:rPr>
          <w:rFonts w:ascii="Consolas" w:eastAsia="Times New Roman" w:hAnsi="Consolas" w:cs="Times New Roman"/>
          <w:color w:val="D4D4D4"/>
          <w:sz w:val="28"/>
          <w:szCs w:val="28"/>
        </w:rPr>
        <w:t>•ETPRO TROJAN Win32/</w:t>
      </w:r>
      <w:proofErr w:type="spellStart"/>
      <w:r w:rsidRPr="00284D98">
        <w:rPr>
          <w:rFonts w:ascii="Consolas" w:eastAsia="Times New Roman" w:hAnsi="Consolas" w:cs="Times New Roman"/>
          <w:color w:val="D4D4D4"/>
          <w:sz w:val="28"/>
          <w:szCs w:val="28"/>
        </w:rPr>
        <w:t>Marap</w:t>
      </w:r>
      <w:proofErr w:type="spellEnd"/>
      <w:r w:rsidRPr="00284D9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284D98">
        <w:rPr>
          <w:rFonts w:ascii="Consolas" w:eastAsia="Times New Roman" w:hAnsi="Consolas" w:cs="Times New Roman"/>
          <w:color w:val="D4D4D4"/>
          <w:sz w:val="28"/>
          <w:szCs w:val="28"/>
        </w:rPr>
        <w:t>CnC</w:t>
      </w:r>
      <w:proofErr w:type="spellEnd"/>
      <w:r w:rsidRPr="00284D98">
        <w:rPr>
          <w:rFonts w:ascii="Consolas" w:eastAsia="Times New Roman" w:hAnsi="Consolas" w:cs="Times New Roman"/>
          <w:color w:val="D4D4D4"/>
          <w:sz w:val="28"/>
          <w:szCs w:val="28"/>
        </w:rPr>
        <w:t xml:space="preserve"> Beacon</w:t>
      </w:r>
    </w:p>
    <w:p w14:paraId="1E3324EC" w14:textId="2B1C3685" w:rsidR="00284D98" w:rsidRDefault="00284D98" w:rsidP="00284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582A847E" w14:textId="5B54E55F" w:rsidR="00284D98" w:rsidRDefault="00284D98" w:rsidP="00284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D4D4D4"/>
          <w:sz w:val="28"/>
          <w:szCs w:val="28"/>
        </w:rPr>
        <w:drawing>
          <wp:inline distT="0" distB="0" distL="0" distR="0" wp14:anchorId="2C95EE46" wp14:editId="4991040B">
            <wp:extent cx="5943600" cy="2887345"/>
            <wp:effectExtent l="0" t="0" r="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635F" w14:textId="4A6E692E" w:rsidR="00284D98" w:rsidRDefault="00284D98" w:rsidP="00284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2D50693" w14:textId="0F4C6F77" w:rsidR="00284D98" w:rsidRPr="00D30117" w:rsidRDefault="00284D98" w:rsidP="00284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8"/>
          <w:szCs w:val="28"/>
        </w:rPr>
        <w:t xml:space="preserve">According to these alerts, the machine is </w:t>
      </w:r>
      <w:proofErr w:type="gramStart"/>
      <w:r>
        <w:rPr>
          <w:rFonts w:ascii="Consolas" w:eastAsia="Times New Roman" w:hAnsi="Consolas" w:cs="Times New Roman"/>
          <w:color w:val="D4D4D4"/>
          <w:sz w:val="28"/>
          <w:szCs w:val="28"/>
        </w:rPr>
        <w:t>infected</w:t>
      </w:r>
      <w:proofErr w:type="gramEnd"/>
      <w:r>
        <w:rPr>
          <w:rFonts w:ascii="Consolas" w:eastAsia="Times New Roman" w:hAnsi="Consolas" w:cs="Times New Roman"/>
          <w:color w:val="D4D4D4"/>
          <w:sz w:val="28"/>
          <w:szCs w:val="28"/>
        </w:rPr>
        <w:t xml:space="preserve"> and the infection is contained within the email attachment. After looking at the first email, it contains a picture attachment. When you view the contents on a text editor, it shows a URL which most likely started the infection.</w:t>
      </w:r>
    </w:p>
    <w:p w14:paraId="631DB2CD" w14:textId="77777777" w:rsidR="005E349F" w:rsidRPr="00D30117" w:rsidRDefault="005E349F" w:rsidP="005E349F">
      <w:pPr>
        <w:rPr>
          <w:sz w:val="32"/>
          <w:szCs w:val="32"/>
        </w:rPr>
      </w:pPr>
    </w:p>
    <w:bookmarkEnd w:id="0"/>
    <w:p w14:paraId="47420E56" w14:textId="57038329" w:rsidR="00854ACD" w:rsidRPr="00D30117" w:rsidRDefault="00854ACD">
      <w:pPr>
        <w:rPr>
          <w:sz w:val="32"/>
          <w:szCs w:val="32"/>
        </w:rPr>
      </w:pPr>
    </w:p>
    <w:sectPr w:rsidR="00854ACD" w:rsidRPr="00D3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96"/>
    <w:rsid w:val="00006806"/>
    <w:rsid w:val="00284D98"/>
    <w:rsid w:val="003E0975"/>
    <w:rsid w:val="00461AA9"/>
    <w:rsid w:val="005E349F"/>
    <w:rsid w:val="007439B0"/>
    <w:rsid w:val="00767821"/>
    <w:rsid w:val="00854ACD"/>
    <w:rsid w:val="008B4C96"/>
    <w:rsid w:val="00971535"/>
    <w:rsid w:val="00C049B0"/>
    <w:rsid w:val="00D30117"/>
    <w:rsid w:val="00DE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824F"/>
  <w15:chartTrackingRefBased/>
  <w15:docId w15:val="{65D38C55-0A53-41B2-9D54-ED466E2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Omar</dc:creator>
  <cp:keywords/>
  <dc:description/>
  <cp:lastModifiedBy>Abdullahi Omar</cp:lastModifiedBy>
  <cp:revision>8</cp:revision>
  <dcterms:created xsi:type="dcterms:W3CDTF">2019-09-22T16:49:00Z</dcterms:created>
  <dcterms:modified xsi:type="dcterms:W3CDTF">2019-09-24T01:55:00Z</dcterms:modified>
</cp:coreProperties>
</file>