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807785426599a5cc637c1dd73d2c89733987cb6"/>
    <w:p>
      <w:pPr>
        <w:pStyle w:val="Heading1"/>
      </w:pPr>
      <w:r>
        <w:t xml:space="preserve">NOAA/AOML PCR Protocol 12S rRNA V5-V6 (MiFish)</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2024-08-19</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2021-08-22</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is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is run in place of DNA on a PCR.</w:t>
            </w:r>
          </w:p>
        </w:tc>
      </w:tr>
    </w:tbl>
    <w:bookmarkEnd w:id="29"/>
    <w:bookmarkEnd w:id="30"/>
    <w:bookmarkStart w:id="35" w:name="background"/>
    <w:p>
      <w:pPr>
        <w:pStyle w:val="Heading2"/>
      </w:pPr>
      <w:r>
        <w:t xml:space="preserve">BACKGROUND</w:t>
      </w:r>
    </w:p>
    <w:bookmarkStart w:id="32" w:name="summary"/>
    <w:p>
      <w:pPr>
        <w:pStyle w:val="Heading3"/>
      </w:pPr>
      <w:r>
        <w:t xml:space="preserve">Summary</w:t>
      </w:r>
    </w:p>
    <w:p>
      <w:pPr>
        <w:pStyle w:val="FirstParagraph"/>
      </w:pPr>
      <w:r>
        <w:t xml:space="preserve">This protocol describes steps for performing PCR for 12S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 This protocol closely follows along with the following protocol:</w:t>
      </w:r>
      <w:r>
        <w:t xml:space="preserve"> </w:t>
      </w:r>
      <w:hyperlink r:id="rId31">
        <w:r>
          <w:rPr>
            <w:rStyle w:val="Hyperlink"/>
          </w:rPr>
          <w:t xml:space="preserve">https://www.protocols.io/view/environmental-dna-edna-12s-metabarcoding-illumina-kqdg35kqzv25/v2</w:t>
        </w:r>
      </w:hyperlink>
      <w:r>
        <w:t xml:space="preserve">.</w:t>
      </w:r>
    </w:p>
    <w:bookmarkEnd w:id="32"/>
    <w:bookmarkStart w:id="33" w:name="method-description-and-rationale"/>
    <w:p>
      <w:pPr>
        <w:pStyle w:val="Heading3"/>
      </w:pPr>
      <w:r>
        <w:t xml:space="preserve">Method description and rationale</w:t>
      </w:r>
    </w:p>
    <w:p>
      <w:pPr>
        <w:pStyle w:val="FirstParagraph"/>
      </w:pPr>
      <w:r>
        <w:t xml:space="preserve">This protocol is used for PCR amplifying the 12S MiFish marker gene regions of environmental DNA. Fluidigm adapters are already present on the primers described in the following protocol. It is highly reproducible and can easily be adapted for any number of samples (i.e. a full 96-well plate or a few samples).</w:t>
      </w:r>
    </w:p>
    <w:bookmarkEnd w:id="33"/>
    <w:bookmarkStart w:id="34" w:name="X5e2f2624e61706e26e46b0fa37d5efb9a0ecfd4"/>
    <w:p>
      <w:pPr>
        <w:pStyle w:val="Heading3"/>
      </w:pPr>
      <w:r>
        <w:t xml:space="preserve">Spatial coverage and environment(s) of relevance</w:t>
      </w:r>
    </w:p>
    <w:p>
      <w:pPr>
        <w:pStyle w:val="FirstParagraph"/>
      </w:pPr>
      <w:r>
        <w:t xml:space="preserve">This protocol can be used to amplify the 12S marker gene region of any eDNA sample.</w:t>
      </w:r>
    </w:p>
    <w:bookmarkEnd w:id="34"/>
    <w:bookmarkEnd w:id="35"/>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6"/>
    <w:bookmarkStart w:id="37"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7"/>
    <w:bookmarkStart w:id="38"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8"/>
    <w:bookmarkEnd w:id="39"/>
    <w:bookmarkStart w:id="40"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- 12S MiFish F</w:t>
            </w:r>
          </w:p>
        </w:tc>
        <w:tc>
          <w:tcPr/>
          <w:p>
            <w:pPr>
              <w:pStyle w:val="Compact"/>
            </w:pPr>
            <w:r>
              <w:t xml:space="preserve">12S MiFish_U F Fluidigm V2</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- 12S MiFish R</w:t>
            </w:r>
          </w:p>
        </w:tc>
        <w:tc>
          <w:tcPr/>
          <w:p>
            <w:pPr>
              <w:pStyle w:val="Compact"/>
            </w:pPr>
            <w:r>
              <w:t xml:space="preserve">12S MiFish_U R Fluidigm</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9" w:name="standard-operating-procedure"/>
    <w:p>
      <w:pPr>
        <w:pStyle w:val="Heading2"/>
      </w:pPr>
      <w:r>
        <w:t xml:space="preserve">STANDARD OPERATING PROCEDURE</w:t>
      </w:r>
    </w:p>
    <w:bookmarkStart w:id="46" w:name="protocol"/>
    <w:p>
      <w:pPr>
        <w:pStyle w:val="Heading3"/>
      </w:pPr>
      <w:r>
        <w:t xml:space="preserve">Protocol</w:t>
      </w:r>
    </w:p>
    <w:bookmarkStart w:id="41" w:name="preparation"/>
    <w:p>
      <w:pPr>
        <w:pStyle w:val="Heading4"/>
      </w:pPr>
      <w:r>
        <w:t xml:space="preserve">Preparation</w:t>
      </w:r>
    </w:p>
    <w:p>
      <w:pPr>
        <w:pStyle w:val="Compact"/>
        <w:numPr>
          <w:ilvl w:val="0"/>
          <w:numId w:val="1005"/>
        </w:numPr>
      </w:pPr>
      <w:r>
        <w:t xml:space="preserve">Dilute primers from 100 uM to 10 uM if not already at 10uM.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1"/>
    <w:bookmarkStart w:id="42"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 Account for triplicate reactions.</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MiFish F V2</w:t>
      </w:r>
    </w:p>
    <w:p>
      <w:pPr>
        <w:pStyle w:val="Compact"/>
        <w:numPr>
          <w:ilvl w:val="0"/>
          <w:numId w:val="1007"/>
        </w:numPr>
      </w:pPr>
      <w:r>
        <w:t xml:space="preserve">1 ul Rev primer (10 μM) - MiFish R</w:t>
      </w:r>
    </w:p>
    <w:tbl>
      <w:tblPr>
        <w:tblStyle w:val="Table"/>
        <w:tblW w:type="pct" w:w="5000"/>
        <w:tblLayout w:type="fixed"/>
        <w:tblLook w:firstRow="1" w:lastRow="0" w:firstColumn="0" w:lastColumn="0" w:noHBand="0" w:noVBand="0" w:val="0020"/>
      </w:tblPr>
      <w:tblGrid>
        <w:gridCol w:w="1721"/>
        <w:gridCol w:w="1721"/>
        <w:gridCol w:w="1721"/>
        <w:gridCol w:w="1377"/>
        <w:gridCol w:w="1377"/>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c>
          <w:tcPr/>
          <w:p>
            <w:pPr>
              <w:pStyle w:val="Compact"/>
            </w:pPr>
            <w:r>
              <w:t xml:space="preserve">Sequence (5’ -&gt; 3’) with Fluidigm Adapters</w:t>
            </w:r>
          </w:p>
        </w:tc>
        <w:tc>
          <w:tcPr/>
          <w:p>
            <w:pPr>
              <w:pStyle w:val="Compact"/>
            </w:pPr>
            <w:r>
              <w:t xml:space="preserve">Fluidigm Adapter</w:t>
            </w:r>
          </w:p>
        </w:tc>
      </w:tr>
      <w:tr>
        <w:tc>
          <w:tcPr/>
          <w:p>
            <w:pPr>
              <w:pStyle w:val="Compact"/>
            </w:pPr>
            <w:r>
              <w:t xml:space="preserve">12S MiFish F V2</w:t>
            </w:r>
          </w:p>
        </w:tc>
        <w:tc>
          <w:tcPr/>
          <w:p>
            <w:pPr>
              <w:pStyle w:val="Compact"/>
            </w:pPr>
            <w:r>
              <w:t xml:space="preserve">forward</w:t>
            </w:r>
          </w:p>
        </w:tc>
        <w:tc>
          <w:tcPr/>
          <w:p>
            <w:pPr>
              <w:pStyle w:val="Compact"/>
            </w:pPr>
            <w:r>
              <w:t xml:space="preserve">GCCGGTAAAACTCGTGCCAGC</w:t>
            </w:r>
          </w:p>
        </w:tc>
        <w:tc>
          <w:tcPr/>
          <w:p>
            <w:pPr>
              <w:pStyle w:val="Compact"/>
            </w:pPr>
            <w:r>
              <w:t xml:space="preserve">ACACTGACGACATGGTTCTACA xxx GCCGGTAAAACTCGTGCCAGC</w:t>
            </w:r>
          </w:p>
        </w:tc>
        <w:tc>
          <w:tcPr/>
          <w:p>
            <w:pPr>
              <w:pStyle w:val="Compact"/>
            </w:pPr>
            <w:r>
              <w:t xml:space="preserve">CS1-TS-F</w:t>
            </w:r>
          </w:p>
        </w:tc>
      </w:tr>
      <w:tr>
        <w:tc>
          <w:tcPr/>
          <w:p>
            <w:pPr>
              <w:pStyle w:val="Compact"/>
            </w:pPr>
            <w:r>
              <w:t xml:space="preserve">12S MiFish R</w:t>
            </w:r>
          </w:p>
        </w:tc>
        <w:tc>
          <w:tcPr/>
          <w:p>
            <w:pPr>
              <w:pStyle w:val="Compact"/>
            </w:pPr>
            <w:r>
              <w:t xml:space="preserve">reverse</w:t>
            </w:r>
          </w:p>
        </w:tc>
        <w:tc>
          <w:tcPr/>
          <w:p>
            <w:pPr>
              <w:pStyle w:val="Compact"/>
            </w:pPr>
            <w:r>
              <w:t xml:space="preserve">CATAGTGGGGTATCTAATCCCAGTTTG</w:t>
            </w:r>
          </w:p>
        </w:tc>
        <w:tc>
          <w:tcPr/>
          <w:p>
            <w:pPr>
              <w:pStyle w:val="Compact"/>
            </w:pPr>
            <w:r>
              <w:t xml:space="preserve">TACGGTAGCAGAGACTTGGTCT xxx CATAGTGGGGTATCTAATCCCAGTTTG</w:t>
            </w:r>
          </w:p>
        </w:tc>
        <w:tc>
          <w:tcPr/>
          <w:p>
            <w:pPr>
              <w:pStyle w:val="Compact"/>
            </w:pPr>
            <w:r>
              <w:t xml:space="preserve">CS2-TS-R</w:t>
            </w:r>
          </w:p>
        </w:tc>
      </w:tr>
    </w:tbl>
    <w:p>
      <w:pPr>
        <w:pStyle w:val="Compact"/>
        <w:numPr>
          <w:ilvl w:val="0"/>
          <w:numId w:val="1008"/>
        </w:numPr>
      </w:pPr>
      <w:r>
        <w:t xml:space="preserve">Add 1 ul of sample DNA (or molecular water for NTC) to respective triplicate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w:t>
      </w:r>
      <w:r>
        <w:t xml:space="preserve"> </w:t>
      </w:r>
      <w:r>
        <w:t xml:space="preserve">“MBARI 12S Touchdown”</w:t>
      </w:r>
      <w:r>
        <w:t xml:space="preserve"> </w:t>
      </w:r>
      <w:r>
        <w:t xml:space="preserve">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15min</w:t>
            </w:r>
          </w:p>
        </w:tc>
        <w:tc>
          <w:tcPr/>
          <w:p>
            <w:pPr>
              <w:pStyle w:val="Compact"/>
            </w:pPr>
            <w:r>
              <w:t xml:space="preserve">1x</w:t>
            </w:r>
          </w:p>
        </w:tc>
      </w:tr>
      <w:tr>
        <w:tc>
          <w:tcPr/>
          <w:p>
            <w:pPr>
              <w:pStyle w:val="Compact"/>
            </w:pPr>
            <w:r>
              <w:t xml:space="preserve">Touchdown Cycling</w:t>
            </w:r>
          </w:p>
        </w:tc>
        <w:tc>
          <w:tcPr/>
          <w:p>
            <w:pPr>
              <w:pStyle w:val="Compact"/>
            </w:pPr>
          </w:p>
        </w:tc>
        <w:tc>
          <w:tcPr/>
          <w:p>
            <w:pPr>
              <w:pStyle w:val="Compact"/>
            </w:pPr>
          </w:p>
        </w:tc>
        <w:tc>
          <w:tcPr/>
          <w:p>
            <w:pPr>
              <w:pStyle w:val="Compact"/>
            </w:pPr>
          </w:p>
        </w:tc>
      </w:tr>
      <w:tr>
        <w:tc>
          <w:tcPr/>
          <w:p>
            <w:pPr>
              <w:pStyle w:val="Compact"/>
            </w:pPr>
            <w:r>
              <w:t xml:space="preserve">Denaturation</w:t>
            </w:r>
          </w:p>
        </w:tc>
        <w:tc>
          <w:tcPr/>
          <w:p>
            <w:pPr>
              <w:pStyle w:val="Compact"/>
            </w:pPr>
            <w:r>
              <w:t xml:space="preserve">94°C</w:t>
            </w:r>
          </w:p>
        </w:tc>
        <w:tc>
          <w:tcPr/>
          <w:p>
            <w:pPr>
              <w:pStyle w:val="Compact"/>
            </w:pPr>
            <w:r>
              <w:t xml:space="preserve">30s</w:t>
            </w:r>
          </w:p>
        </w:tc>
        <w:tc>
          <w:tcPr/>
          <w:p>
            <w:pPr>
              <w:pStyle w:val="Compact"/>
            </w:pPr>
            <w:r>
              <w:t xml:space="preserve">13x</w:t>
            </w:r>
          </w:p>
        </w:tc>
      </w:tr>
      <w:tr>
        <w:tc>
          <w:tcPr/>
          <w:p>
            <w:pPr>
              <w:pStyle w:val="Compact"/>
            </w:pPr>
            <w:r>
              <w:t xml:space="preserve">Annealing</w:t>
            </w:r>
          </w:p>
        </w:tc>
        <w:tc>
          <w:tcPr/>
          <w:p>
            <w:pPr>
              <w:pStyle w:val="Compact"/>
            </w:pPr>
            <w:r>
              <w:t xml:space="preserve">69.5°C</w:t>
            </w:r>
          </w:p>
        </w:tc>
        <w:tc>
          <w:tcPr/>
          <w:p>
            <w:pPr>
              <w:pStyle w:val="Compact"/>
            </w:pPr>
            <w:r>
              <w:t xml:space="preserve">30s</w:t>
            </w:r>
          </w:p>
        </w:tc>
        <w:tc>
          <w:tcPr/>
          <w:p>
            <w:pPr>
              <w:pStyle w:val="Compact"/>
            </w:pPr>
            <w:r>
              <w:t xml:space="preserve">13x (changes -1.5°C each cycle)</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13x</w:t>
            </w:r>
          </w:p>
        </w:tc>
      </w:tr>
      <w:tr>
        <w:tc>
          <w:tcPr/>
          <w:p>
            <w:pPr>
              <w:pStyle w:val="Compact"/>
            </w:pPr>
            <w:r>
              <w:t xml:space="preserve">Normal Cycling</w:t>
            </w:r>
          </w:p>
        </w:tc>
        <w:tc>
          <w:tcPr/>
          <w:p>
            <w:pPr>
              <w:pStyle w:val="Compact"/>
            </w:pPr>
          </w:p>
        </w:tc>
        <w:tc>
          <w:tcPr/>
          <w:p>
            <w:pPr>
              <w:pStyle w:val="Compact"/>
            </w:pPr>
          </w:p>
        </w:tc>
        <w:tc>
          <w:tcPr/>
          <w:p>
            <w:pPr>
              <w:pStyle w:val="Compact"/>
            </w:pPr>
          </w:p>
        </w:tc>
      </w:tr>
      <w:tr>
        <w:tc>
          <w:tcPr/>
          <w:p>
            <w:pPr>
              <w:pStyle w:val="Compact"/>
            </w:pPr>
            <w:r>
              <w:t xml:space="preserve">Denaturation</w:t>
            </w:r>
          </w:p>
        </w:tc>
        <w:tc>
          <w:tcPr/>
          <w:p>
            <w:pPr>
              <w:pStyle w:val="Compact"/>
            </w:pPr>
            <w:r>
              <w:t xml:space="preserve">94°C</w:t>
            </w:r>
          </w:p>
        </w:tc>
        <w:tc>
          <w:tcPr/>
          <w:p>
            <w:pPr>
              <w:pStyle w:val="Compact"/>
            </w:pPr>
            <w:r>
              <w:t xml:space="preserve">30s</w:t>
            </w:r>
          </w:p>
        </w:tc>
        <w:tc>
          <w:tcPr/>
          <w:p>
            <w:pPr>
              <w:pStyle w:val="Compact"/>
            </w:pPr>
            <w:r>
              <w:t xml:space="preserve">25x</w:t>
            </w:r>
          </w:p>
        </w:tc>
      </w:tr>
      <w:tr>
        <w:tc>
          <w:tcPr/>
          <w:p>
            <w:pPr>
              <w:pStyle w:val="Compact"/>
            </w:pPr>
            <w:r>
              <w:t xml:space="preserve">Annealing</w:t>
            </w:r>
          </w:p>
        </w:tc>
        <w:tc>
          <w:tcPr/>
          <w:p>
            <w:pPr>
              <w:pStyle w:val="Compact"/>
            </w:pPr>
            <w:r>
              <w:t xml:space="preserve">50°C</w:t>
            </w:r>
          </w:p>
        </w:tc>
        <w:tc>
          <w:tcPr/>
          <w:p>
            <w:pPr>
              <w:pStyle w:val="Compact"/>
            </w:pPr>
            <w:r>
              <w:t xml:space="preserve">30s</w:t>
            </w:r>
          </w:p>
        </w:tc>
        <w:tc>
          <w:tcPr/>
          <w:p>
            <w:pPr>
              <w:pStyle w:val="Compact"/>
            </w:pPr>
            <w:r>
              <w:t xml:space="preserve">25x</w:t>
            </w:r>
          </w:p>
        </w:tc>
      </w:tr>
      <w:tr>
        <w:tc>
          <w:tcPr/>
          <w:p>
            <w:pPr>
              <w:pStyle w:val="Compact"/>
            </w:pPr>
            <w:r>
              <w:t xml:space="preserve">Extension</w:t>
            </w:r>
          </w:p>
        </w:tc>
        <w:tc>
          <w:tcPr/>
          <w:p>
            <w:pPr>
              <w:pStyle w:val="Compact"/>
            </w:pPr>
            <w:r>
              <w:t xml:space="preserve">72°C</w:t>
            </w:r>
          </w:p>
        </w:tc>
        <w:tc>
          <w:tcPr/>
          <w:p>
            <w:pPr>
              <w:pStyle w:val="Compact"/>
            </w:pPr>
            <w:r>
              <w:t xml:space="preserve">45s</w:t>
            </w:r>
          </w:p>
        </w:tc>
        <w:tc>
          <w:tcPr/>
          <w:p>
            <w:pPr>
              <w:pStyle w:val="Compact"/>
            </w:pPr>
            <w:r>
              <w:t xml:space="preserve">25x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2"/>
    <w:bookmarkStart w:id="45" w:name="quality-control-pcr-clean-up"/>
    <w:p>
      <w:pPr>
        <w:pStyle w:val="Heading4"/>
      </w:pPr>
      <w:r>
        <w:t xml:space="preserve">Quality control, PCR clean-up</w:t>
      </w:r>
    </w:p>
    <w:p>
      <w:pPr>
        <w:pStyle w:val="FirstParagraph"/>
      </w:pPr>
      <w:r>
        <w:t xml:space="preserve">2% Agarose Gel</w:t>
      </w:r>
      <w:r>
        <w:t xml:space="preserve"> </w:t>
      </w:r>
      <w:r>
        <w:t xml:space="preserve">Following PCR amplification, pool triplicate PCR products then run through 2% agarose gel to confirm presence of target bands:</w:t>
      </w:r>
    </w:p>
    <w:p>
      <w:pPr>
        <w:pStyle w:val="Compact"/>
        <w:numPr>
          <w:ilvl w:val="0"/>
          <w:numId w:val="1009"/>
        </w:numPr>
      </w:pPr>
      <w:r>
        <w:t xml:space="preserve">Make stock solution of TBE buffer (1x) in a 1-L glass container by adding 100 ml of stock TBE buffer (10x) to 900 ml DI water.</w:t>
      </w:r>
    </w:p>
    <w:p>
      <w:pPr>
        <w:pStyle w:val="Compact"/>
        <w:numPr>
          <w:ilvl w:val="0"/>
          <w:numId w:val="1009"/>
        </w:numPr>
      </w:pPr>
      <w:r>
        <w:t xml:space="preserve">For a 5.5in x 5.5in gel tray, mix 200 ml of TBE buffer (1x) and 4 g of agarose in a flask. Use scale to weigh agarose.</w:t>
      </w:r>
    </w:p>
    <w:p>
      <w:pPr>
        <w:pStyle w:val="Compact"/>
        <w:numPr>
          <w:ilvl w:val="0"/>
          <w:numId w:val="1009"/>
        </w:numPr>
      </w:pPr>
      <w:r>
        <w:t xml:space="preserve">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p>
    <w:p>
      <w:pPr>
        <w:pStyle w:val="Compact"/>
        <w:numPr>
          <w:ilvl w:val="0"/>
          <w:numId w:val="1009"/>
        </w:numPr>
      </w:pPr>
      <w:r>
        <w:t xml:space="preserve">Allow for gel mixture to cool in flask for 5-10 min. While cooling, set up gel tray (5.5in x 5.5in) in gel box. Make sure the tray is oriented properly and sealed tight for gel pouring. Add two gel combs for 20 wells each lane - total of 40 wells.</w:t>
      </w:r>
    </w:p>
    <w:p>
      <w:pPr>
        <w:pStyle w:val="Compact"/>
        <w:numPr>
          <w:ilvl w:val="0"/>
          <w:numId w:val="1009"/>
        </w:numPr>
      </w:pPr>
      <w:r>
        <w:t xml:space="preserve">Once cooled to 50°C, add 20 ul of SYBR safe to the mixture and swirl the flask gently to mix (don’t create bubbles!). SYBR safe is light sensitive so after adding to mixture, immediately close the vial and store in the dark.</w:t>
      </w:r>
    </w:p>
    <w:p>
      <w:pPr>
        <w:pStyle w:val="Compact"/>
        <w:numPr>
          <w:ilvl w:val="0"/>
          <w:numId w:val="1009"/>
        </w:numPr>
      </w:pPr>
      <w:r>
        <w:t xml:space="preserve">Pour the gel mixture and remove any bubbles using a pipette tip.</w:t>
      </w:r>
    </w:p>
    <w:p>
      <w:pPr>
        <w:pStyle w:val="Compact"/>
        <w:numPr>
          <w:ilvl w:val="0"/>
          <w:numId w:val="1009"/>
        </w:numPr>
      </w:pPr>
      <w:r>
        <w:t xml:space="preserve">Allow gel to set for 30-45 min.</w:t>
      </w:r>
    </w:p>
    <w:p>
      <w:pPr>
        <w:pStyle w:val="Compact"/>
        <w:numPr>
          <w:ilvl w:val="0"/>
          <w:numId w:val="1009"/>
        </w:numPr>
      </w:pPr>
      <w:r>
        <w:t xml:space="preserve">Cut large strips of parafilm or use 8-strip tubes and label each sample as a position on the parafilm/tubes.</w:t>
      </w:r>
    </w:p>
    <w:p>
      <w:pPr>
        <w:pStyle w:val="Compact"/>
        <w:numPr>
          <w:ilvl w:val="0"/>
          <w:numId w:val="1009"/>
        </w:numPr>
      </w:pPr>
      <w:r>
        <w:t xml:space="preserve">Pipette 1 ul of blue loading dye onto each sample position or into each tube.</w:t>
      </w:r>
    </w:p>
    <w:p>
      <w:pPr>
        <w:pStyle w:val="Compact"/>
        <w:numPr>
          <w:ilvl w:val="0"/>
          <w:numId w:val="1009"/>
        </w:numPr>
      </w:pPr>
      <w:r>
        <w:t xml:space="preserve">Pipette 5 ul of DNA sample into loading dye and pipette to mix 2-3 times.</w:t>
      </w:r>
    </w:p>
    <w:p>
      <w:pPr>
        <w:pStyle w:val="Compact"/>
        <w:numPr>
          <w:ilvl w:val="0"/>
          <w:numId w:val="1009"/>
        </w:numPr>
      </w:pPr>
      <w:r>
        <w:t xml:space="preserve">Once the gel is set, fill the gel box with enough TBE buffer (1x) to fully submerge the gel beneath ~1cm of buffer.</w:t>
      </w:r>
    </w:p>
    <w:p>
      <w:pPr>
        <w:pStyle w:val="Compact"/>
        <w:numPr>
          <w:ilvl w:val="0"/>
          <w:numId w:val="1009"/>
        </w:numPr>
      </w:pPr>
      <w:r>
        <w:t xml:space="preserve">Carefully add samples (6 ul each) to gel and write down their positions.</w:t>
      </w:r>
    </w:p>
    <w:p>
      <w:pPr>
        <w:pStyle w:val="Compact"/>
        <w:numPr>
          <w:ilvl w:val="0"/>
          <w:numId w:val="1009"/>
        </w:numPr>
      </w:pPr>
      <w:r>
        <w:t xml:space="preserve">Add 6 ul of ladder dye (green) to gel.</w:t>
      </w:r>
    </w:p>
    <w:p>
      <w:pPr>
        <w:pStyle w:val="Compact"/>
        <w:numPr>
          <w:ilvl w:val="0"/>
          <w:numId w:val="1009"/>
        </w:numPr>
      </w:pPr>
      <w:r>
        <w:t xml:space="preserve">Run gel at 100 V for 40-50 min then visualize on gel reader machine.</w:t>
      </w:r>
    </w:p>
    <w:p>
      <w:pPr>
        <w:pStyle w:val="FirstParagraph"/>
      </w:pPr>
      <w:r>
        <w:t xml:space="preserve">(OPTIONAL) Purify PCR products using AMPure beads protocol (optimized for Opentrons)</w:t>
      </w:r>
    </w:p>
    <w:p>
      <w:pPr>
        <w:pStyle w:val="Compact"/>
        <w:numPr>
          <w:ilvl w:val="0"/>
          <w:numId w:val="1010"/>
        </w:numPr>
      </w:pPr>
      <w:r>
        <w:t xml:space="preserve">Follow along with AMPure XP beads manufacturer protocol (begins on page 5 of manual -</w:t>
      </w:r>
      <w:r>
        <w:t xml:space="preserve"> </w:t>
      </w:r>
      <w:hyperlink r:id="rId43">
        <w:r>
          <w:rPr>
            <w:rStyle w:val="Hyperlink"/>
          </w:rPr>
          <w:t xml:space="preserve">https://www.beckmancoulter.com/wsrportal/techdocs?docname=B37419</w:t>
        </w:r>
      </w:hyperlink>
      <w:r>
        <w:t xml:space="preserve">).</w:t>
      </w:r>
    </w:p>
    <w:p>
      <w:pPr>
        <w:pStyle w:val="Compact"/>
        <w:numPr>
          <w:ilvl w:val="0"/>
          <w:numId w:val="1010"/>
        </w:numPr>
      </w:pPr>
      <w:r>
        <w:t xml:space="preserve">Adjust bead ratio: 1.2x beads to sample volume for 12S.</w:t>
      </w:r>
    </w:p>
    <w:p>
      <w:pPr>
        <w:pStyle w:val="Compact"/>
        <w:numPr>
          <w:ilvl w:val="0"/>
          <w:numId w:val="1010"/>
        </w:numPr>
      </w:pPr>
      <w:r>
        <w:t xml:space="preserve">Will need magnetic plate and fresh 70% ethanol.</w:t>
      </w:r>
    </w:p>
    <w:p>
      <w:pPr>
        <w:pStyle w:val="Compact"/>
        <w:numPr>
          <w:ilvl w:val="0"/>
          <w:numId w:val="1010"/>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1"/>
        </w:numPr>
      </w:pPr>
      <w:r>
        <w:t xml:space="preserve">Follow manufacturer protocol for running Qubit:</w:t>
      </w:r>
      <w:r>
        <w:t xml:space="preserve"> </w:t>
      </w:r>
      <w:hyperlink r:id="rId44">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2"/>
        </w:numPr>
      </w:pPr>
      <w:r>
        <w:t xml:space="preserve">Follow along with previous gel instructions.</w:t>
      </w:r>
    </w:p>
    <w:bookmarkEnd w:id="45"/>
    <w:bookmarkEnd w:id="46"/>
    <w:bookmarkStart w:id="47"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7"/>
    <w:bookmarkStart w:id="48" w:name="basic-troubleshooting-guide"/>
    <w:p>
      <w:pPr>
        <w:pStyle w:val="Heading3"/>
      </w:pPr>
      <w:r>
        <w:t xml:space="preserve">Basic troubleshooting guide</w:t>
      </w:r>
    </w:p>
    <w:p>
      <w:pPr>
        <w:pStyle w:val="FirstParagraph"/>
      </w:pPr>
      <w:r>
        <w:t xml:space="preserve">Low Volume Post-PCR</w:t>
      </w:r>
    </w:p>
    <w:p>
      <w:pPr>
        <w:pStyle w:val="Compact"/>
        <w:numPr>
          <w:ilvl w:val="0"/>
          <w:numId w:val="1013"/>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4"/>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5"/>
        </w:numPr>
      </w:pPr>
      <w:r>
        <w:t xml:space="preserve">If there are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8"/>
    <w:bookmarkEnd w:id="49"/>
    <w:bookmarkStart w:id="50" w:name="references"/>
    <w:p>
      <w:pPr>
        <w:pStyle w:val="Heading2"/>
      </w:pPr>
      <w:r>
        <w:t xml:space="preserve">REFERENCES</w:t>
      </w:r>
    </w:p>
    <w:p>
      <w:pPr>
        <w:pStyle w:val="FirstParagraph"/>
      </w:pPr>
      <w:r>
        <w:t xml:space="preserve">AMPure Beads Protocol (Beckman Coulter)</w:t>
      </w:r>
      <w:r>
        <w:t xml:space="preserve"> </w:t>
      </w:r>
      <w:hyperlink r:id="rId43">
        <w:r>
          <w:rPr>
            <w:rStyle w:val="Hyperlink"/>
          </w:rPr>
          <w:t xml:space="preserve">https://www.beckmancoulter.com/wsrportal/techdocs?docname=B37419</w:t>
        </w:r>
      </w:hyperlink>
    </w:p>
    <w:p>
      <w:pPr>
        <w:pStyle w:val="BodyText"/>
      </w:pPr>
      <w:r>
        <w:t xml:space="preserve">Qubit Protocol (Thermo Fisher)</w:t>
      </w:r>
      <w:r>
        <w:t xml:space="preserve"> </w:t>
      </w:r>
      <w:hyperlink r:id="rId44">
        <w:r>
          <w:rPr>
            <w:rStyle w:val="Hyperlink"/>
          </w:rPr>
          <w:t xml:space="preserve">https://tools.thermofisher.com/content/sfs/manuals/Qubit_dsDNA_HS_Assay_UG.pdf</w:t>
        </w:r>
      </w:hyperlink>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environmental-dna-edna-12s-metabarcoding-illumina-kqdg35kqzv25/v2"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environmental-dna-edna-12s-metabarcoding-illumina-kqdg35kqzv25/v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2025-01-09T23:10:06Z</dcterms:created>
  <dcterms:modified xsi:type="dcterms:W3CDTF">2025-01-09T23:10:06Z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