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exend Deca Medium" w:cs="Lexend Deca Medium" w:eastAsia="Lexend Deca Medium" w:hAnsi="Lexend Deca Medium"/>
          <w:sz w:val="46"/>
          <w:szCs w:val="46"/>
        </w:rPr>
      </w:pPr>
      <w:bookmarkStart w:colFirst="0" w:colLast="0" w:name="_9oqg3zhrrt4m" w:id="0"/>
      <w:bookmarkEnd w:id="0"/>
      <w:r w:rsidDel="00000000" w:rsidR="00000000" w:rsidRPr="00000000">
        <w:rPr>
          <w:rFonts w:ascii="Lexend Deca Medium" w:cs="Lexend Deca Medium" w:eastAsia="Lexend Deca Medium" w:hAnsi="Lexend Deca Medium"/>
          <w:sz w:val="46"/>
          <w:szCs w:val="46"/>
          <w:rtl w:val="0"/>
        </w:rPr>
        <w:t xml:space="preserve">Agent Builder Concepts &amp; Robustness Summary</w:t>
      </w:r>
    </w:p>
    <w:p w:rsidR="00000000" w:rsidDel="00000000" w:rsidP="00000000" w:rsidRDefault="00000000" w:rsidRPr="00000000" w14:paraId="00000002">
      <w:pPr>
        <w:rPr>
          <w:rFonts w:ascii="Lexend Light" w:cs="Lexend Light" w:eastAsia="Lexend Light" w:hAnsi="Lexend Light"/>
        </w:rPr>
      </w:pPr>
      <w:hyperlink r:id="rId6">
        <w:r w:rsidDel="00000000" w:rsidR="00000000" w:rsidRPr="00000000">
          <w:rPr>
            <w:rFonts w:ascii="Lexend Light" w:cs="Lexend Light" w:eastAsia="Lexend Light" w:hAnsi="Lexend Light"/>
            <w:color w:val="0000ee"/>
            <w:u w:val="single"/>
            <w:rtl w:val="0"/>
          </w:rPr>
          <w:t xml:space="preserve">Aonghus Davoren</w:t>
        </w:r>
      </w:hyperlink>
      <w:r w:rsidDel="00000000" w:rsidR="00000000" w:rsidRPr="00000000">
        <w:rPr>
          <w:rFonts w:ascii="Lexend Light" w:cs="Lexend Light" w:eastAsia="Lexend Light" w:hAnsi="Lexend Light"/>
          <w:rtl w:val="0"/>
        </w:rPr>
        <w:t xml:space="preserve"> | </w:t>
      </w:r>
      <w:r w:rsidDel="00000000" w:rsidR="00000000" w:rsidRPr="00000000">
        <w:rPr>
          <w:rFonts w:ascii="Lexend Light" w:cs="Lexend Light" w:eastAsia="Lexend Light" w:hAnsi="Lexend Light"/>
          <w:rtl w:val="0"/>
        </w:rPr>
        <w:t xml:space="preserve">Feb 27, 2026</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cma89sqi0ouw" w:id="1"/>
      <w:bookmarkEnd w:id="1"/>
      <w:r w:rsidDel="00000000" w:rsidR="00000000" w:rsidRPr="00000000">
        <w:rPr>
          <w:rFonts w:ascii="Lexend Deca Medium" w:cs="Lexend Deca Medium" w:eastAsia="Lexend Deca Medium" w:hAnsi="Lexend Deca Medium"/>
          <w:color w:val="000000"/>
          <w:sz w:val="26"/>
          <w:szCs w:val="26"/>
          <w:rtl w:val="0"/>
        </w:rPr>
        <w:t xml:space="preserve">Agent Builder</w:t>
      </w:r>
    </w:p>
    <w:p w:rsidR="00000000" w:rsidDel="00000000" w:rsidP="00000000" w:rsidRDefault="00000000" w:rsidRPr="00000000" w14:paraId="00000004">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unified Automation Builder workspace (evolved from Workflows + Breeze Studio) where users design, test, deploy, and monitor Automations. “Agents” are Automations composed with reasoning, memory, and tools, and optionally surfaced in conversational or CRM contexts.</w:t>
      </w:r>
    </w:p>
    <w:p w:rsidR="00000000" w:rsidDel="00000000" w:rsidP="00000000" w:rsidRDefault="00000000" w:rsidRPr="00000000" w14:paraId="00000005">
      <w:pPr>
        <w:rPr>
          <w:rFonts w:ascii="Lexend Deca Medium" w:cs="Lexend Deca Medium" w:eastAsia="Lexend Deca Medium" w:hAnsi="Lexend Dec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49nrib8dx2y7" w:id="2"/>
      <w:bookmarkEnd w:id="2"/>
      <w:r w:rsidDel="00000000" w:rsidR="00000000" w:rsidRPr="00000000">
        <w:rPr>
          <w:rFonts w:ascii="Lexend Deca Medium" w:cs="Lexend Deca Medium" w:eastAsia="Lexend Deca Medium" w:hAnsi="Lexend Deca Medium"/>
          <w:color w:val="000000"/>
          <w:sz w:val="26"/>
          <w:szCs w:val="26"/>
          <w:rtl w:val="0"/>
        </w:rPr>
        <w:t xml:space="preserve">Agent</w:t>
      </w:r>
    </w:p>
    <w:p w:rsidR="00000000" w:rsidDel="00000000" w:rsidP="00000000" w:rsidRDefault="00000000" w:rsidRPr="00000000" w14:paraId="00000007">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No separate runtime primitive is defined. An Agent is an Automation whose composition includes Reasoning Nodes, appropriate Tool access, and Memory, and is typically deployed to an interactive Surface (e.g., inbox, helpdesk, CRM panel). “Agent” is a system classification and market-facing label, not a distinct execution object.</w:t>
      </w:r>
    </w:p>
    <w:p w:rsidR="00000000" w:rsidDel="00000000" w:rsidP="00000000" w:rsidRDefault="00000000" w:rsidRPr="00000000" w14:paraId="00000008">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jy7az54c0qsb" w:id="3"/>
      <w:bookmarkEnd w:id="3"/>
      <w:r w:rsidDel="00000000" w:rsidR="00000000" w:rsidRPr="00000000">
        <w:rPr>
          <w:rFonts w:ascii="Lexend Deca Medium" w:cs="Lexend Deca Medium" w:eastAsia="Lexend Deca Medium" w:hAnsi="Lexend Deca Medium"/>
          <w:color w:val="000000"/>
          <w:sz w:val="26"/>
          <w:szCs w:val="26"/>
          <w:rtl w:val="0"/>
        </w:rPr>
        <w:t xml:space="preserve">Automation</w:t>
      </w:r>
    </w:p>
    <w:p w:rsidR="00000000" w:rsidDel="00000000" w:rsidP="00000000" w:rsidRDefault="00000000" w:rsidRPr="00000000" w14:paraId="00000009">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top-level executable object. An Automation responds to Triggers, executes a graph of Steps, uses Context and Tools, and produces outcomes. All deterministic workflows and agentic behaviors are implemented as Automations.</w:t>
      </w:r>
    </w:p>
    <w:p w:rsidR="00000000" w:rsidDel="00000000" w:rsidP="00000000" w:rsidRDefault="00000000" w:rsidRPr="00000000" w14:paraId="0000000A">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41lz3q27dqf3" w:id="4"/>
      <w:bookmarkEnd w:id="4"/>
      <w:r w:rsidDel="00000000" w:rsidR="00000000" w:rsidRPr="00000000">
        <w:rPr>
          <w:rFonts w:ascii="Lexend Deca Medium" w:cs="Lexend Deca Medium" w:eastAsia="Lexend Deca Medium" w:hAnsi="Lexend Deca Medium"/>
          <w:color w:val="000000"/>
          <w:sz w:val="26"/>
          <w:szCs w:val="26"/>
          <w:rtl w:val="0"/>
        </w:rPr>
        <w:t xml:space="preserve">Execution Graph</w:t>
      </w:r>
    </w:p>
    <w:p w:rsidR="00000000" w:rsidDel="00000000" w:rsidP="00000000" w:rsidRDefault="00000000" w:rsidRPr="00000000" w14:paraId="0000000B">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structured representation of an Automation as connected Steps, Conditions, and timing controls. The graph defines behavior; autonomy emerges from its composition.</w:t>
      </w:r>
    </w:p>
    <w:p w:rsidR="00000000" w:rsidDel="00000000" w:rsidP="00000000" w:rsidRDefault="00000000" w:rsidRPr="00000000" w14:paraId="0000000C">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afg5uhwd9psp" w:id="5"/>
      <w:bookmarkEnd w:id="5"/>
      <w:r w:rsidDel="00000000" w:rsidR="00000000" w:rsidRPr="00000000">
        <w:rPr>
          <w:rFonts w:ascii="Lexend Deca Medium" w:cs="Lexend Deca Medium" w:eastAsia="Lexend Deca Medium" w:hAnsi="Lexend Deca Medium"/>
          <w:color w:val="000000"/>
          <w:sz w:val="26"/>
          <w:szCs w:val="26"/>
          <w:rtl w:val="0"/>
        </w:rPr>
        <w:t xml:space="preserve">Step</w:t>
      </w:r>
    </w:p>
    <w:p w:rsidR="00000000" w:rsidDel="00000000" w:rsidP="00000000" w:rsidRDefault="00000000" w:rsidRPr="00000000" w14:paraId="0000000D">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discrete unit of execution within an Automation.</w:t>
      </w:r>
    </w:p>
    <w:p w:rsidR="00000000" w:rsidDel="00000000" w:rsidP="00000000" w:rsidRDefault="00000000" w:rsidRPr="00000000" w14:paraId="0000000E">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2kspfea5z47o" w:id="6"/>
      <w:bookmarkEnd w:id="6"/>
      <w:r w:rsidDel="00000000" w:rsidR="00000000" w:rsidRPr="00000000">
        <w:rPr>
          <w:rFonts w:ascii="Lexend Deca Medium" w:cs="Lexend Deca Medium" w:eastAsia="Lexend Deca Medium" w:hAnsi="Lexend Deca Medium"/>
          <w:color w:val="000000"/>
          <w:sz w:val="26"/>
          <w:szCs w:val="26"/>
          <w:rtl w:val="0"/>
        </w:rPr>
        <w:t xml:space="preserve">Action Step</w:t>
      </w:r>
    </w:p>
    <w:p w:rsidR="00000000" w:rsidDel="00000000" w:rsidP="00000000" w:rsidRDefault="00000000" w:rsidRPr="00000000" w14:paraId="0000000F">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deterministic step that performs a predefined operation (e.g., update record, send communication, enroll contact, invoke integration).</w:t>
      </w:r>
    </w:p>
    <w:p w:rsidR="00000000" w:rsidDel="00000000" w:rsidP="00000000" w:rsidRDefault="00000000" w:rsidRPr="00000000" w14:paraId="00000010">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av44t3o4rq2c" w:id="7"/>
      <w:bookmarkEnd w:id="7"/>
      <w:r w:rsidDel="00000000" w:rsidR="00000000" w:rsidRPr="00000000">
        <w:rPr>
          <w:rFonts w:ascii="Lexend Deca Medium" w:cs="Lexend Deca Medium" w:eastAsia="Lexend Deca Medium" w:hAnsi="Lexend Deca Medium"/>
          <w:color w:val="000000"/>
          <w:sz w:val="26"/>
          <w:szCs w:val="26"/>
          <w:rtl w:val="0"/>
        </w:rPr>
        <w:t xml:space="preserve">Reasoning Node</w:t>
      </w:r>
    </w:p>
    <w:p w:rsidR="00000000" w:rsidDel="00000000" w:rsidP="00000000" w:rsidRDefault="00000000" w:rsidRPr="00000000" w14:paraId="00000011">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non-deterministic step where the system interprets goals and state, determines next actions, and selects Tools within defined Guardrails. The presence and density of Reasoning Nodes determine the Automation’s autonomy characteristics.</w:t>
      </w:r>
    </w:p>
    <w:p w:rsidR="00000000" w:rsidDel="00000000" w:rsidP="00000000" w:rsidRDefault="00000000" w:rsidRPr="00000000" w14:paraId="00000012">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r13ezpwl7nyf" w:id="8"/>
      <w:bookmarkEnd w:id="8"/>
      <w:r w:rsidDel="00000000" w:rsidR="00000000" w:rsidRPr="00000000">
        <w:rPr>
          <w:rFonts w:ascii="Lexend Deca Medium" w:cs="Lexend Deca Medium" w:eastAsia="Lexend Deca Medium" w:hAnsi="Lexend Deca Medium"/>
          <w:color w:val="000000"/>
          <w:sz w:val="26"/>
          <w:szCs w:val="26"/>
          <w:rtl w:val="0"/>
        </w:rPr>
        <w:t xml:space="preserve">Condition</w:t>
      </w:r>
    </w:p>
    <w:p w:rsidR="00000000" w:rsidDel="00000000" w:rsidP="00000000" w:rsidRDefault="00000000" w:rsidRPr="00000000" w14:paraId="00000013">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branching construct that routes execution based on data or outputs from previous steps (including Reasoning Nodes).</w:t>
      </w:r>
    </w:p>
    <w:p w:rsidR="00000000" w:rsidDel="00000000" w:rsidP="00000000" w:rsidRDefault="00000000" w:rsidRPr="00000000" w14:paraId="00000014">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o2vaf2l3hpp7" w:id="9"/>
      <w:bookmarkEnd w:id="9"/>
      <w:r w:rsidDel="00000000" w:rsidR="00000000" w:rsidRPr="00000000">
        <w:rPr>
          <w:rFonts w:ascii="Lexend Deca Medium" w:cs="Lexend Deca Medium" w:eastAsia="Lexend Deca Medium" w:hAnsi="Lexend Deca Medium"/>
          <w:color w:val="000000"/>
          <w:sz w:val="26"/>
          <w:szCs w:val="26"/>
          <w:rtl w:val="0"/>
        </w:rPr>
        <w:t xml:space="preserve">Trigger</w:t>
      </w:r>
    </w:p>
    <w:p w:rsidR="00000000" w:rsidDel="00000000" w:rsidP="00000000" w:rsidRDefault="00000000" w:rsidRPr="00000000" w14:paraId="00000015">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An event, schedule, or condition that initiates an Automation (CRM property change, form submission, webhook, conversation event, manual invocation).</w:t>
      </w:r>
    </w:p>
    <w:p w:rsidR="00000000" w:rsidDel="00000000" w:rsidP="00000000" w:rsidRDefault="00000000" w:rsidRPr="00000000" w14:paraId="00000016">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mevtvx415vc8" w:id="10"/>
      <w:bookmarkEnd w:id="10"/>
      <w:r w:rsidDel="00000000" w:rsidR="00000000" w:rsidRPr="00000000">
        <w:rPr>
          <w:rFonts w:ascii="Lexend Deca Medium" w:cs="Lexend Deca Medium" w:eastAsia="Lexend Deca Medium" w:hAnsi="Lexend Deca Medium"/>
          <w:color w:val="000000"/>
          <w:sz w:val="26"/>
          <w:szCs w:val="26"/>
          <w:rtl w:val="0"/>
        </w:rPr>
        <w:t xml:space="preserve">Tool</w:t>
      </w:r>
    </w:p>
    <w:p w:rsidR="00000000" w:rsidDel="00000000" w:rsidP="00000000" w:rsidRDefault="00000000" w:rsidRPr="00000000" w14:paraId="00000017">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callable capability available during execution, including HubSpot CRM actions, integrations, custom code actions, and retrieval functions.</w:t>
      </w:r>
    </w:p>
    <w:p w:rsidR="00000000" w:rsidDel="00000000" w:rsidP="00000000" w:rsidRDefault="00000000" w:rsidRPr="00000000" w14:paraId="00000018">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wo9ve6vlszcp" w:id="11"/>
      <w:bookmarkEnd w:id="11"/>
      <w:r w:rsidDel="00000000" w:rsidR="00000000" w:rsidRPr="00000000">
        <w:rPr>
          <w:rFonts w:ascii="Lexend Deca Medium" w:cs="Lexend Deca Medium" w:eastAsia="Lexend Deca Medium" w:hAnsi="Lexend Deca Medium"/>
          <w:color w:val="000000"/>
          <w:sz w:val="26"/>
          <w:szCs w:val="26"/>
          <w:rtl w:val="0"/>
        </w:rPr>
        <w:t xml:space="preserve">Integration</w:t>
      </w:r>
    </w:p>
    <w:p w:rsidR="00000000" w:rsidDel="00000000" w:rsidP="00000000" w:rsidRDefault="00000000" w:rsidRPr="00000000" w14:paraId="00000019">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connected external system that expands available Triggers and Tools via native connectors or APIs.</w:t>
      </w:r>
    </w:p>
    <w:p w:rsidR="00000000" w:rsidDel="00000000" w:rsidP="00000000" w:rsidRDefault="00000000" w:rsidRPr="00000000" w14:paraId="0000001A">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cracrp23me68" w:id="12"/>
      <w:bookmarkEnd w:id="12"/>
      <w:r w:rsidDel="00000000" w:rsidR="00000000" w:rsidRPr="00000000">
        <w:rPr>
          <w:rFonts w:ascii="Lexend Deca Medium" w:cs="Lexend Deca Medium" w:eastAsia="Lexend Deca Medium" w:hAnsi="Lexend Deca Medium"/>
          <w:color w:val="000000"/>
          <w:sz w:val="26"/>
          <w:szCs w:val="26"/>
          <w:rtl w:val="0"/>
        </w:rPr>
        <w:t xml:space="preserve">Context</w:t>
      </w:r>
    </w:p>
    <w:p w:rsidR="00000000" w:rsidDel="00000000" w:rsidP="00000000" w:rsidRDefault="00000000" w:rsidRPr="00000000" w14:paraId="0000001B">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structured CRM data and runtime inputs available to a Run (records, properties, associations, conversation history, trigger payload).</w:t>
      </w:r>
    </w:p>
    <w:p w:rsidR="00000000" w:rsidDel="00000000" w:rsidP="00000000" w:rsidRDefault="00000000" w:rsidRPr="00000000" w14:paraId="0000001C">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sbi6qhgbxepp" w:id="13"/>
      <w:bookmarkEnd w:id="13"/>
      <w:r w:rsidDel="00000000" w:rsidR="00000000" w:rsidRPr="00000000">
        <w:rPr>
          <w:rFonts w:ascii="Lexend Deca Medium" w:cs="Lexend Deca Medium" w:eastAsia="Lexend Deca Medium" w:hAnsi="Lexend Deca Medium"/>
          <w:color w:val="000000"/>
          <w:sz w:val="26"/>
          <w:szCs w:val="26"/>
          <w:rtl w:val="0"/>
        </w:rPr>
        <w:t xml:space="preserve">Knowledge Source</w:t>
      </w:r>
    </w:p>
    <w:p w:rsidR="00000000" w:rsidDel="00000000" w:rsidP="00000000" w:rsidRDefault="00000000" w:rsidRPr="00000000" w14:paraId="0000001D">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designated repository of reference material retrievable during execution (e.g., CMS content, knowledge base articles, uploaded documents, connected content stores).</w:t>
      </w:r>
    </w:p>
    <w:p w:rsidR="00000000" w:rsidDel="00000000" w:rsidP="00000000" w:rsidRDefault="00000000" w:rsidRPr="00000000" w14:paraId="0000001E">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egme0u8lx0j4" w:id="14"/>
      <w:bookmarkEnd w:id="14"/>
      <w:r w:rsidDel="00000000" w:rsidR="00000000" w:rsidRPr="00000000">
        <w:rPr>
          <w:rFonts w:ascii="Lexend Deca Medium" w:cs="Lexend Deca Medium" w:eastAsia="Lexend Deca Medium" w:hAnsi="Lexend Deca Medium"/>
          <w:color w:val="000000"/>
          <w:sz w:val="26"/>
          <w:szCs w:val="26"/>
          <w:rtl w:val="0"/>
        </w:rPr>
        <w:t xml:space="preserve">Memory</w:t>
      </w:r>
    </w:p>
    <w:p w:rsidR="00000000" w:rsidDel="00000000" w:rsidP="00000000" w:rsidRDefault="00000000" w:rsidRPr="00000000" w14:paraId="0000001F">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Persistent state maintained across Runs (e.g., per-object, per-conversation, or per-automation scope) enabling continuity and adaptive behavior.</w:t>
      </w:r>
    </w:p>
    <w:p w:rsidR="00000000" w:rsidDel="00000000" w:rsidP="00000000" w:rsidRDefault="00000000" w:rsidRPr="00000000" w14:paraId="00000020">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uv2w8r7yfec8" w:id="15"/>
      <w:bookmarkEnd w:id="15"/>
      <w:r w:rsidDel="00000000" w:rsidR="00000000" w:rsidRPr="00000000">
        <w:rPr>
          <w:rFonts w:ascii="Lexend Deca Medium" w:cs="Lexend Deca Medium" w:eastAsia="Lexend Deca Medium" w:hAnsi="Lexend Deca Medium"/>
          <w:color w:val="000000"/>
          <w:sz w:val="26"/>
          <w:szCs w:val="26"/>
          <w:rtl w:val="0"/>
        </w:rPr>
        <w:t xml:space="preserve">Human Approval</w:t>
      </w:r>
    </w:p>
    <w:p w:rsidR="00000000" w:rsidDel="00000000" w:rsidP="00000000" w:rsidRDefault="00000000" w:rsidRPr="00000000" w14:paraId="00000021">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Step type that pauses execution and requires user review before continuing.</w:t>
      </w:r>
    </w:p>
    <w:p w:rsidR="00000000" w:rsidDel="00000000" w:rsidP="00000000" w:rsidRDefault="00000000" w:rsidRPr="00000000" w14:paraId="00000022">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mcjfc87w9n9g" w:id="16"/>
      <w:bookmarkEnd w:id="16"/>
      <w:r w:rsidDel="00000000" w:rsidR="00000000" w:rsidRPr="00000000">
        <w:rPr>
          <w:rFonts w:ascii="Lexend Deca Medium" w:cs="Lexend Deca Medium" w:eastAsia="Lexend Deca Medium" w:hAnsi="Lexend Deca Medium"/>
          <w:color w:val="000000"/>
          <w:sz w:val="26"/>
          <w:szCs w:val="26"/>
          <w:rtl w:val="0"/>
        </w:rPr>
        <w:t xml:space="preserve">Guardrails</w:t>
      </w:r>
    </w:p>
    <w:p w:rsidR="00000000" w:rsidDel="00000000" w:rsidP="00000000" w:rsidRDefault="00000000" w:rsidRPr="00000000" w14:paraId="00000023">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Constraints that govern Automation behavior, including tool allowlists, data access scope, output requirements, reasoning limits, and policy boundaries.</w:t>
      </w:r>
    </w:p>
    <w:p w:rsidR="00000000" w:rsidDel="00000000" w:rsidP="00000000" w:rsidRDefault="00000000" w:rsidRPr="00000000" w14:paraId="00000024">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qfk2hiqzjle6" w:id="17"/>
      <w:bookmarkEnd w:id="17"/>
      <w:r w:rsidDel="00000000" w:rsidR="00000000" w:rsidRPr="00000000">
        <w:rPr>
          <w:rFonts w:ascii="Lexend Deca Medium" w:cs="Lexend Deca Medium" w:eastAsia="Lexend Deca Medium" w:hAnsi="Lexend Deca Medium"/>
          <w:color w:val="000000"/>
          <w:sz w:val="26"/>
          <w:szCs w:val="26"/>
          <w:rtl w:val="0"/>
        </w:rPr>
        <w:t xml:space="preserve">Surface</w:t>
      </w:r>
    </w:p>
    <w:p w:rsidR="00000000" w:rsidDel="00000000" w:rsidP="00000000" w:rsidRDefault="00000000" w:rsidRPr="00000000" w14:paraId="00000025">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deployment context where an Automation operates or interacts (e.g., inbox/chat, helpdesk, CRM UI panel, background CRM automation). Agents are typically Automations deployed to interactive Surfaces.</w:t>
      </w:r>
    </w:p>
    <w:p w:rsidR="00000000" w:rsidDel="00000000" w:rsidP="00000000" w:rsidRDefault="00000000" w:rsidRPr="00000000" w14:paraId="00000026">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stf9t99vodxm" w:id="18"/>
      <w:bookmarkEnd w:id="18"/>
      <w:r w:rsidDel="00000000" w:rsidR="00000000" w:rsidRPr="00000000">
        <w:rPr>
          <w:rFonts w:ascii="Lexend Deca Medium" w:cs="Lexend Deca Medium" w:eastAsia="Lexend Deca Medium" w:hAnsi="Lexend Deca Medium"/>
          <w:color w:val="000000"/>
          <w:sz w:val="26"/>
          <w:szCs w:val="26"/>
          <w:rtl w:val="0"/>
        </w:rPr>
        <w:t xml:space="preserve">Run</w:t>
      </w:r>
    </w:p>
    <w:p w:rsidR="00000000" w:rsidDel="00000000" w:rsidP="00000000" w:rsidRDefault="00000000" w:rsidRPr="00000000" w14:paraId="00000027">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single execution instance of an Automation, capturing inputs, step transitions, tool calls, intermediate outputs, reasoning traces (if applicable), and final results.</w:t>
      </w:r>
    </w:p>
    <w:p w:rsidR="00000000" w:rsidDel="00000000" w:rsidP="00000000" w:rsidRDefault="00000000" w:rsidRPr="00000000" w14:paraId="00000028">
      <w:pPr>
        <w:rPr>
          <w:rFonts w:ascii="Lexend Deca Medium" w:cs="Lexend Deca Medium" w:eastAsia="Lexend Deca Medium" w:hAnsi="Lexend Dec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e7s5rkv9zk3x" w:id="19"/>
      <w:bookmarkEnd w:id="19"/>
      <w:r w:rsidDel="00000000" w:rsidR="00000000" w:rsidRPr="00000000">
        <w:rPr>
          <w:rFonts w:ascii="Lexend Deca Medium" w:cs="Lexend Deca Medium" w:eastAsia="Lexend Deca Medium" w:hAnsi="Lexend Deca Medium"/>
          <w:color w:val="000000"/>
          <w:sz w:val="26"/>
          <w:szCs w:val="26"/>
          <w:rtl w:val="0"/>
        </w:rPr>
        <w:t xml:space="preserve">Autonomy Classification</w:t>
      </w:r>
    </w:p>
    <w:p w:rsidR="00000000" w:rsidDel="00000000" w:rsidP="00000000" w:rsidRDefault="00000000" w:rsidRPr="00000000" w14:paraId="0000002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system-derived label based on composition of the Execution Graph:</w:t>
      </w:r>
    </w:p>
    <w:p w:rsidR="00000000" w:rsidDel="00000000" w:rsidP="00000000" w:rsidRDefault="00000000" w:rsidRPr="00000000" w14:paraId="0000002B">
      <w:pPr>
        <w:numPr>
          <w:ilvl w:val="0"/>
          <w:numId w:val="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Deterministic — no Reasoning Nodes</w:t>
      </w:r>
    </w:p>
    <w:p w:rsidR="00000000" w:rsidDel="00000000" w:rsidP="00000000" w:rsidRDefault="00000000" w:rsidRPr="00000000" w14:paraId="0000002C">
      <w:pPr>
        <w:numPr>
          <w:ilvl w:val="0"/>
          <w:numId w:val="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Hybrid — mix of Action Steps and Reasoning Nodes</w:t>
      </w:r>
    </w:p>
    <w:p w:rsidR="00000000" w:rsidDel="00000000" w:rsidP="00000000" w:rsidRDefault="00000000" w:rsidRPr="00000000" w14:paraId="0000002D">
      <w:pPr>
        <w:numPr>
          <w:ilvl w:val="0"/>
          <w:numId w:val="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Agentic — reasoning-driven execution with dynamic tool selection and Memory</w:t>
      </w:r>
    </w:p>
    <w:p w:rsidR="00000000" w:rsidDel="00000000" w:rsidP="00000000" w:rsidRDefault="00000000" w:rsidRPr="00000000" w14:paraId="0000002E">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classification is visible in the UI and Monitoring but not manually set.</w:t>
      </w:r>
    </w:p>
    <w:p w:rsidR="00000000" w:rsidDel="00000000" w:rsidP="00000000" w:rsidRDefault="00000000" w:rsidRPr="00000000" w14:paraId="0000002F">
      <w:pPr>
        <w:rPr>
          <w:rFonts w:ascii="Lexend Deca Medium" w:cs="Lexend Deca Medium" w:eastAsia="Lexend Deca Medium" w:hAnsi="Lexend Dec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l8h8h2ugelqu" w:id="20"/>
      <w:bookmarkEnd w:id="20"/>
      <w:r w:rsidDel="00000000" w:rsidR="00000000" w:rsidRPr="00000000">
        <w:rPr>
          <w:rFonts w:ascii="Lexend Deca Medium" w:cs="Lexend Deca Medium" w:eastAsia="Lexend Deca Medium" w:hAnsi="Lexend Deca Medium"/>
          <w:color w:val="000000"/>
          <w:sz w:val="26"/>
          <w:szCs w:val="26"/>
          <w:rtl w:val="0"/>
        </w:rPr>
        <w:t xml:space="preserve">Platform Governance &amp; Lifecycle</w:t>
      </w:r>
    </w:p>
    <w:p w:rsidR="00000000" w:rsidDel="00000000" w:rsidP="00000000" w:rsidRDefault="00000000" w:rsidRPr="00000000" w14:paraId="00000031">
      <w:pPr>
        <w:numPr>
          <w:ilvl w:val="0"/>
          <w:numId w:val="6"/>
        </w:numPr>
        <w:spacing w:after="20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Monitoring: Run history, logs, execution traces (including reasoning traces), metrics, and error diagnostics across all Automations.</w:t>
      </w:r>
    </w:p>
    <w:p w:rsidR="00000000" w:rsidDel="00000000" w:rsidP="00000000" w:rsidRDefault="00000000" w:rsidRPr="00000000" w14:paraId="00000032">
      <w:pPr>
        <w:numPr>
          <w:ilvl w:val="0"/>
          <w:numId w:val="6"/>
        </w:numPr>
        <w:spacing w:after="20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Evaluation: Testing and quality measurement for Automations, including simulation, replay, assertions, and output grading for Reasoning Nodes.</w:t>
      </w:r>
    </w:p>
    <w:p w:rsidR="00000000" w:rsidDel="00000000" w:rsidP="00000000" w:rsidRDefault="00000000" w:rsidRPr="00000000" w14:paraId="00000033">
      <w:pPr>
        <w:numPr>
          <w:ilvl w:val="0"/>
          <w:numId w:val="6"/>
        </w:numPr>
        <w:spacing w:after="20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Permissions: Role-based access control governing creation, editing, deployment, tool access, use of Reasoning Nodes, and Memory configuration.</w:t>
      </w:r>
    </w:p>
    <w:p w:rsidR="00000000" w:rsidDel="00000000" w:rsidP="00000000" w:rsidRDefault="00000000" w:rsidRPr="00000000" w14:paraId="00000034">
      <w:pPr>
        <w:numPr>
          <w:ilvl w:val="0"/>
          <w:numId w:val="6"/>
        </w:numPr>
        <w:spacing w:after="20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Environments: Separated spaces (e.g., development, staging, production) for safe change management of Automations and their dependencies.</w:t>
      </w:r>
    </w:p>
    <w:p w:rsidR="00000000" w:rsidDel="00000000" w:rsidP="00000000" w:rsidRDefault="00000000" w:rsidRPr="00000000" w14:paraId="00000035">
      <w:pPr>
        <w:numPr>
          <w:ilvl w:val="0"/>
          <w:numId w:val="6"/>
        </w:numPr>
        <w:spacing w:after="20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Deployment: The activation of an Automation with defined Triggers, Surfaces, Tool access, and Guardrails in a live environment.</w:t>
      </w:r>
    </w:p>
    <w:p w:rsidR="00000000" w:rsidDel="00000000" w:rsidP="00000000" w:rsidRDefault="00000000" w:rsidRPr="00000000" w14:paraId="00000036">
      <w:pPr>
        <w:numPr>
          <w:ilvl w:val="0"/>
          <w:numId w:val="6"/>
        </w:numPr>
        <w:spacing w:after="20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Templates: Pre-built Execution Graphs and configuration blueprints that accelerate creation of common deterministic, hybrid, or agentic Automations.</w:t>
      </w:r>
    </w:p>
    <w:p w:rsidR="00000000" w:rsidDel="00000000" w:rsidP="00000000" w:rsidRDefault="00000000" w:rsidRPr="00000000" w14:paraId="00000037">
      <w:pPr>
        <w:numPr>
          <w:ilvl w:val="0"/>
          <w:numId w:val="6"/>
        </w:numPr>
        <w:spacing w:after="20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Agent Profile: A reusable configuration layer applied to an Automation that standardizes goals, instructions, Memory scope, Tool permissions, Guardrails, and Surface deployment. Agent Profiles enable consistent packaging of Automations as market-facing “Agents” without introducing a separate runtime primitive.</w:t>
      </w:r>
    </w:p>
    <w:p w:rsidR="00000000" w:rsidDel="00000000" w:rsidP="00000000" w:rsidRDefault="00000000" w:rsidRPr="00000000" w14:paraId="00000038">
      <w:pPr>
        <w:rPr>
          <w:rFonts w:ascii="Lexend Deca Medium" w:cs="Lexend Deca Medium" w:eastAsia="Lexend Deca Medium" w:hAnsi="Lexend Dec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Lexend Deca Medium" w:cs="Lexend Deca Medium" w:eastAsia="Lexend Deca Medium" w:hAnsi="Lexend Deca Medium"/>
          <w:color w:val="000000"/>
          <w:sz w:val="26"/>
          <w:szCs w:val="26"/>
        </w:rPr>
      </w:pPr>
      <w:bookmarkStart w:colFirst="0" w:colLast="0" w:name="_n399f53d6r5o" w:id="21"/>
      <w:bookmarkEnd w:id="21"/>
      <w:r w:rsidDel="00000000" w:rsidR="00000000" w:rsidRPr="00000000">
        <w:rPr>
          <w:rFonts w:ascii="Lexend Deca Medium" w:cs="Lexend Deca Medium" w:eastAsia="Lexend Deca Medium" w:hAnsi="Lexend Deca Medium"/>
          <w:color w:val="000000"/>
          <w:sz w:val="26"/>
          <w:szCs w:val="26"/>
          <w:rtl w:val="0"/>
        </w:rPr>
        <w:t xml:space="preserve">Robustness Summary — HubSpot Concepts Model</w:t>
      </w:r>
    </w:p>
    <w:p w:rsidR="00000000" w:rsidDel="00000000" w:rsidP="00000000" w:rsidRDefault="00000000" w:rsidRPr="00000000" w14:paraId="0000003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Robustness Score: 9.5 / 10</w:t>
      </w:r>
    </w:p>
    <w:p w:rsidR="00000000" w:rsidDel="00000000" w:rsidP="00000000" w:rsidRDefault="00000000" w:rsidRPr="00000000" w14:paraId="0000003B">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C">
      <w:pP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Strong Alignment with User Mental Models</w:t>
      </w:r>
    </w:p>
    <w:p w:rsidR="00000000" w:rsidDel="00000000" w:rsidP="00000000" w:rsidRDefault="00000000" w:rsidRPr="00000000" w14:paraId="0000003D">
      <w:pPr>
        <w:numPr>
          <w:ilvl w:val="0"/>
          <w:numId w:val="3"/>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Single executable object (“Automation”) eliminates Workflow vs Agent fragmentation</w:t>
      </w:r>
    </w:p>
    <w:p w:rsidR="00000000" w:rsidDel="00000000" w:rsidP="00000000" w:rsidRDefault="00000000" w:rsidRPr="00000000" w14:paraId="0000003E">
      <w:pPr>
        <w:numPr>
          <w:ilvl w:val="0"/>
          <w:numId w:val="3"/>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Autonomy emerges from composition, matching observable behavior</w:t>
      </w:r>
    </w:p>
    <w:p w:rsidR="00000000" w:rsidDel="00000000" w:rsidP="00000000" w:rsidRDefault="00000000" w:rsidRPr="00000000" w14:paraId="0000003F">
      <w:pPr>
        <w:numPr>
          <w:ilvl w:val="0"/>
          <w:numId w:val="3"/>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“Agent” exists as a clear classification and packaging layer without duplicating runtime</w:t>
      </w:r>
    </w:p>
    <w:p w:rsidR="00000000" w:rsidDel="00000000" w:rsidP="00000000" w:rsidRDefault="00000000" w:rsidRPr="00000000" w14:paraId="00000040">
      <w:pPr>
        <w:numPr>
          <w:ilvl w:val="0"/>
          <w:numId w:val="3"/>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Shared Run/Step/Tool primitives unify execution understanding</w:t>
      </w:r>
    </w:p>
    <w:p w:rsidR="00000000" w:rsidDel="00000000" w:rsidP="00000000" w:rsidRDefault="00000000" w:rsidRPr="00000000" w14:paraId="00000041">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2">
      <w:pP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Conceptual Strengths</w:t>
      </w:r>
    </w:p>
    <w:p w:rsidR="00000000" w:rsidDel="00000000" w:rsidP="00000000" w:rsidRDefault="00000000" w:rsidRPr="00000000" w14:paraId="00000043">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Architecturally coherent: one builder, one runtime, one monitoring model</w:t>
      </w:r>
    </w:p>
    <w:p w:rsidR="00000000" w:rsidDel="00000000" w:rsidP="00000000" w:rsidRDefault="00000000" w:rsidRPr="00000000" w14:paraId="00000044">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Autonomy is structurally honest (derived from reasoning presence)</w:t>
      </w:r>
    </w:p>
    <w:p w:rsidR="00000000" w:rsidDel="00000000" w:rsidP="00000000" w:rsidRDefault="00000000" w:rsidRPr="00000000" w14:paraId="00000045">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Agent Profile supports market packaging without object proliferation</w:t>
      </w:r>
    </w:p>
    <w:p w:rsidR="00000000" w:rsidDel="00000000" w:rsidP="00000000" w:rsidRDefault="00000000" w:rsidRPr="00000000" w14:paraId="00000046">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Governance attaches cleanly at Step (Reasoning), Tool, and Memory levels</w:t>
      </w:r>
    </w:p>
    <w:p w:rsidR="00000000" w:rsidDel="00000000" w:rsidP="00000000" w:rsidRDefault="00000000" w:rsidRPr="00000000" w14:paraId="00000047">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8">
      <w:pP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Weaker Areas</w:t>
      </w:r>
    </w:p>
    <w:p w:rsidR="00000000" w:rsidDel="00000000" w:rsidP="00000000" w:rsidRDefault="00000000" w:rsidRPr="00000000" w14:paraId="00000049">
      <w:pPr>
        <w:numPr>
          <w:ilvl w:val="0"/>
          <w:numId w:val="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Requires strong UI signaling of Autonomy Classification to maintain clarity</w:t>
      </w:r>
    </w:p>
    <w:p w:rsidR="00000000" w:rsidDel="00000000" w:rsidP="00000000" w:rsidRDefault="00000000" w:rsidRPr="00000000" w14:paraId="0000004A">
      <w:pPr>
        <w:numPr>
          <w:ilvl w:val="0"/>
          <w:numId w:val="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Must clearly differentiate Memory from standard CRM record storage</w:t>
      </w:r>
    </w:p>
    <w:p w:rsidR="00000000" w:rsidDel="00000000" w:rsidP="00000000" w:rsidRDefault="00000000" w:rsidRPr="00000000" w14:paraId="0000004B">
      <w:pPr>
        <w:numPr>
          <w:ilvl w:val="0"/>
          <w:numId w:val="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Hybrid graphs could become complex without design standards</w:t>
      </w:r>
    </w:p>
    <w:p w:rsidR="00000000" w:rsidDel="00000000" w:rsidP="00000000" w:rsidRDefault="00000000" w:rsidRPr="00000000" w14:paraId="0000004C">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D">
      <w:pP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Associated Risks</w:t>
      </w:r>
    </w:p>
    <w:p w:rsidR="00000000" w:rsidDel="00000000" w:rsidP="00000000" w:rsidRDefault="00000000" w:rsidRPr="00000000" w14:paraId="0000004E">
      <w:pPr>
        <w:numPr>
          <w:ilvl w:val="0"/>
          <w:numId w:val="5"/>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If “Agent” is not visibly distinct in deployment Surfaces, category capture weakens</w:t>
      </w:r>
    </w:p>
    <w:p w:rsidR="00000000" w:rsidDel="00000000" w:rsidP="00000000" w:rsidRDefault="00000000" w:rsidRPr="00000000" w14:paraId="0000004F">
      <w:pPr>
        <w:numPr>
          <w:ilvl w:val="0"/>
          <w:numId w:val="5"/>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Overuse of Reasoning Nodes may create unpredictable behavior without guardrails</w:t>
      </w:r>
    </w:p>
    <w:p w:rsidR="00000000" w:rsidDel="00000000" w:rsidP="00000000" w:rsidRDefault="00000000" w:rsidRPr="00000000" w14:paraId="00000050">
      <w:pPr>
        <w:numPr>
          <w:ilvl w:val="0"/>
          <w:numId w:val="5"/>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Inconsistent Agent Profile governance could fragment trust</w:t>
      </w:r>
    </w:p>
    <w:p w:rsidR="00000000" w:rsidDel="00000000" w:rsidP="00000000" w:rsidRDefault="00000000" w:rsidRPr="00000000" w14:paraId="00000051">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2">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Final Classification Automation-native platform with compositional agentic runtime and productized agent packaging layered on top.</w:t>
      </w:r>
    </w:p>
    <w:p w:rsidR="00000000" w:rsidDel="00000000" w:rsidP="00000000" w:rsidRDefault="00000000" w:rsidRPr="00000000" w14:paraId="00000053">
      <w:pPr>
        <w:rPr>
          <w:rFonts w:ascii="Lexend Deca Medium" w:cs="Lexend Deca Medium" w:eastAsia="Lexend Deca Medium" w:hAnsi="Lexend Deca Medium"/>
          <w:color w:val="1f1f1f"/>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Deca Medium">
    <w:embedRegular w:fontKey="{00000000-0000-0000-0000-000000000000}" r:id="rId3" w:subsetted="0"/>
    <w:embedBold w:fontKey="{00000000-0000-0000-0000-000000000000}" r:id="rId4" w:subsetted="0"/>
  </w:font>
  <w:font w:name="Lexend Medium">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davoren@hubspo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DecaMedium-regular.ttf"/><Relationship Id="rId4" Type="http://schemas.openxmlformats.org/officeDocument/2006/relationships/font" Target="fonts/LexendDecaMedium-bold.ttf"/><Relationship Id="rId5" Type="http://schemas.openxmlformats.org/officeDocument/2006/relationships/font" Target="fonts/LexendMedium-regular.ttf"/><Relationship Id="rId6" Type="http://schemas.openxmlformats.org/officeDocument/2006/relationships/font" Target="fonts/Lexend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