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F6690"/>
          <w:sz w:val="26"/>
        </w:rPr>
        <w:t>WAYSTAR GROUP</w:t>
      </w:r>
    </w:p>
    <w:p>
      <w:pPr>
        <w:pStyle w:val="Title"/>
      </w:pPr>
      <w:r>
        <w:rPr>
          <w:rFonts w:ascii="Calibri" w:hAnsi="Calibri"/>
          <w:color w:val="13294B"/>
        </w:rPr>
        <w:t>Система мотивации и KPI</w:t>
      </w:r>
    </w:p>
    <w:p>
      <w:pPr>
        <w:spacing w:after="200" w:before="0"/>
      </w:pPr>
      <w:r>
        <w:rPr>
          <w:b w:val="0"/>
          <w:i w:val="0"/>
          <w:color w:val="6B7A8D"/>
          <w:sz w:val="22"/>
        </w:rPr>
        <w:t>Оценка ФОТ · Методология · KPI-карты по сотрудникам · Положение о премировании · Проект приказа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Назначение документа. </w:t>
      </w:r>
      <w:r>
        <w:rPr>
          <w:b w:val="0"/>
          <w:i w:val="0"/>
          <w:color w:val="2A3746"/>
          <w:sz w:val="22"/>
        </w:rPr>
        <w:t>Перевод оплаты труда с «100% оклад» на модель «фиксированная часть + переменная часть за результат», привязанную к целям компании. Документ включает: (1) диагностику текущего фонда оплаты труда, (2) методологию системы KPI и грейдов, (3) индивидуальные KPI-карты для всех 13 сотрудников, (4) положение о премировании с формулой расчёта и (5) проект приказа о внедрении.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Периметр. </w:t>
      </w:r>
      <w:r>
        <w:rPr>
          <w:b w:val="0"/>
          <w:i w:val="0"/>
          <w:color w:val="6B7A8D"/>
          <w:sz w:val="22"/>
        </w:rPr>
        <w:t>Waystar Group — 13 сотрудников, месячный ФОТ (со всеми налогами) ≈ 22,28 млн ₸, годовой ≈ 267,4 млн ₸. Данные и суммы приведены по управленческой ведомости ФОТ; при внедрении подлежат сверке с бухгалтерией и трудовыми договорами.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Статус. </w:t>
      </w:r>
      <w:r>
        <w:rPr>
          <w:b w:val="0"/>
          <w:i w:val="0"/>
          <w:color w:val="6B7A8D"/>
          <w:sz w:val="22"/>
        </w:rPr>
        <w:t>Проект для рассмотрения. Числовые пороги (target/threshold/stretch) в KPI-картах — ориентировочные и подлежат калибровке владельцами функций перед утверждением.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1. Оценка фонда оплаты труда (ФОТ)</w:t>
      </w:r>
    </w:p>
    <w:p>
      <w:pPr>
        <w:pStyle w:val="Heading2"/>
      </w:pPr>
      <w:r>
        <w:rPr>
          <w:rFonts w:ascii="Calibri" w:hAnsi="Calibri"/>
          <w:color w:val="2F6690"/>
        </w:rPr>
        <w:t>1.1. Ключевые показатели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3294B"/>
          </w:tcPr>
          <w:p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2041"/>
            <w:shd w:val="clear" w:fill="13294B"/>
          </w:tcPr>
          <w:p>
            <w:r>
              <w:rPr>
                <w:b/>
                <w:color w:val="FFFFFF"/>
                <w:sz w:val="20"/>
              </w:rPr>
              <w:t>Значение (мес.)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В год</w:t>
            </w:r>
          </w:p>
        </w:tc>
        <w:tc>
          <w:tcPr>
            <w:tcW w:type="dxa" w:w="2381"/>
            <w:shd w:val="clear" w:fill="13294B"/>
          </w:tcPr>
          <w:p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Оклад начисленный (ОПВ/ВОСМС/ИПН)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19 834 098 ₸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238,0 млн ₸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База начисления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ЗП на руки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16 150 000 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193,8 млн ₸</w:t>
            </w:r>
          </w:p>
        </w:tc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Нетто сотрудникам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Налоги и отчисления с ЗП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6 130 320 ₸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73,6 млн ₸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+38% к «на руки»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/>
                <w:color w:val="2A3746"/>
                <w:sz w:val="19"/>
              </w:rPr>
              <w:t>ФОТ со всеми налогами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/>
                <w:color w:val="2A3746"/>
                <w:sz w:val="19"/>
              </w:rPr>
              <w:t>22 280 320 ₸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/>
                <w:color w:val="2A3746"/>
                <w:sz w:val="19"/>
              </w:rPr>
              <w:t>267,4 млн ₸</w:t>
            </w:r>
          </w:p>
        </w:tc>
        <w:tc>
          <w:tcPr>
            <w:tcW w:type="dxa" w:w="2381"/>
            <w:shd w:val="clear" w:fill="FFFFFF"/>
          </w:tcPr>
          <w:p>
            <w:r>
              <w:rPr>
                <w:b/>
                <w:color w:val="2A3746"/>
                <w:sz w:val="19"/>
              </w:rPr>
              <w:t>Полная стоимость для компании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Налоговая нагрузка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27,5% от ФОТ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—</w:t>
            </w:r>
          </w:p>
        </w:tc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ОПВ/ИПН/СН/СО/ОСМС/ОПВР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1.2. Структура ФОТ по ролям (ЗП на руки)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510"/>
            <w:shd w:val="clear" w:fill="13294B"/>
          </w:tcPr>
          <w:p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20"/>
              </w:rPr>
              <w:t>Сотрудник</w:t>
            </w:r>
          </w:p>
        </w:tc>
        <w:tc>
          <w:tcPr>
            <w:tcW w:type="dxa" w:w="2835"/>
            <w:shd w:val="clear" w:fill="13294B"/>
          </w:tcPr>
          <w:p>
            <w:r>
              <w:rPr>
                <w:b/>
                <w:color w:val="FFFFFF"/>
                <w:sz w:val="20"/>
              </w:rPr>
              <w:t>Должность</w:t>
            </w:r>
          </w:p>
        </w:tc>
        <w:tc>
          <w:tcPr>
            <w:tcW w:type="dxa" w:w="1474"/>
            <w:shd w:val="clear" w:fill="13294B"/>
          </w:tcPr>
          <w:p>
            <w:r>
              <w:rPr>
                <w:b/>
                <w:color w:val="FFFFFF"/>
                <w:sz w:val="20"/>
              </w:rPr>
              <w:t>ЗП на руки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20"/>
              </w:rPr>
              <w:t>Доля</w:t>
            </w:r>
          </w:p>
        </w:tc>
        <w:tc>
          <w:tcPr>
            <w:tcW w:type="dxa" w:w="737"/>
            <w:shd w:val="clear" w:fill="13294B"/>
          </w:tcPr>
          <w:p>
            <w:r>
              <w:rPr>
                <w:b/>
                <w:color w:val="FFFFFF"/>
                <w:sz w:val="20"/>
              </w:rPr>
              <w:t>Грейд*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8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Серикбаев А.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Президент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5 000 000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31,0%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A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2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Аубакиров А.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CFO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3 500 000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21,7%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A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11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Унбетпаев Е.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Операционный директор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1 500 000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9,3%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A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4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Данияр Алим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CEO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1 000 000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6,2%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A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Аманбекова А.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HR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1 000 000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6,2%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B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5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Доолоткулов Д.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Начальник отдела логистики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1 000 000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6,2%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B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10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Ташметов С.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Юрист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1 000 000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6,2%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C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13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Сибагатов Х.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Менеджер по логистике (senior)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800 000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5,0%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D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3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Байльденова Ш.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HR менеджер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500 000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3,1%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C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9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Таджимурадова А.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Менеджер по закрытию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300 000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1,9%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E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6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Жунусова К.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Менеджер по логистике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200 000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1,2%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D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7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Сейтқадыр Д.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Менеджер по логистике</w:t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200 000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1,2%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D</w:t>
            </w:r>
          </w:p>
        </w:tc>
      </w:tr>
      <w:tr>
        <w:tc>
          <w:tcPr>
            <w:tcW w:type="dxa" w:w="510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12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Белова П.</w:t>
            </w:r>
          </w:p>
        </w:tc>
        <w:tc>
          <w:tcPr>
            <w:tcW w:type="dxa" w:w="283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Менеджер по логистике</w:t>
            </w:r>
          </w:p>
        </w:tc>
        <w:tc>
          <w:tcPr>
            <w:tcW w:type="dxa" w:w="1474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150 000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0,9%</w:t>
            </w:r>
          </w:p>
        </w:tc>
        <w:tc>
          <w:tcPr>
            <w:tcW w:type="dxa" w:w="737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D</w:t>
            </w:r>
          </w:p>
        </w:tc>
      </w:tr>
      <w:tr>
        <w:tc>
          <w:tcPr>
            <w:tcW w:type="dxa" w:w="510"/>
            <w:shd w:val="clear" w:fill="FFFFFF"/>
          </w:tcPr>
          <w:p>
            <w:r>
              <w:rPr>
                <w:b w:val="0"/>
                <w:color w:val="2A3746"/>
                <w:sz w:val="18"/>
              </w:rPr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/>
                <w:color w:val="2A3746"/>
                <w:sz w:val="18"/>
              </w:rPr>
              <w:t>ИТОГО</w:t>
            </w:r>
          </w:p>
        </w:tc>
        <w:tc>
          <w:tcPr>
            <w:tcW w:type="dxa" w:w="2835"/>
            <w:shd w:val="clear" w:fill="FFFFFF"/>
          </w:tcPr>
          <w:p>
            <w:r>
              <w:rPr>
                <w:b w:val="0"/>
                <w:color w:val="2A3746"/>
                <w:sz w:val="18"/>
              </w:rPr>
            </w:r>
          </w:p>
        </w:tc>
        <w:tc>
          <w:tcPr>
            <w:tcW w:type="dxa" w:w="1474"/>
            <w:shd w:val="clear" w:fill="FFFFFF"/>
          </w:tcPr>
          <w:p>
            <w:r>
              <w:rPr>
                <w:b/>
                <w:color w:val="2A3746"/>
                <w:sz w:val="18"/>
              </w:rPr>
              <w:t>16 150 000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/>
                <w:color w:val="2A3746"/>
                <w:sz w:val="18"/>
              </w:rPr>
              <w:t>100%</w:t>
            </w:r>
          </w:p>
        </w:tc>
        <w:tc>
          <w:tcPr>
            <w:tcW w:type="dxa" w:w="737"/>
            <w:shd w:val="clear" w:fill="FFFFFF"/>
          </w:tcPr>
          <w:p>
            <w:r>
              <w:rPr>
                <w:b w:val="0"/>
                <w:color w:val="2A3746"/>
                <w:sz w:val="18"/>
              </w:rPr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6B7A8D"/>
          <w:sz w:val="18"/>
        </w:rPr>
        <w:t>* Грейд — предлагаемая группа для системы KPI (см. раздел 2.3).</w:t>
      </w:r>
    </w:p>
    <w:p>
      <w:pPr>
        <w:pStyle w:val="Heading2"/>
      </w:pPr>
      <w:r>
        <w:rPr>
          <w:rFonts w:ascii="Calibri" w:hAnsi="Calibri"/>
          <w:color w:val="C4772F"/>
        </w:rPr>
        <w:t>1.3. Выводы диагностики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«Тяжёлый верх». </w:t>
      </w:r>
      <w:r>
        <w:rPr>
          <w:b w:val="0"/>
          <w:color w:val="2A3746"/>
          <w:sz w:val="22"/>
        </w:rPr>
        <w:t>Топ-4 роли (Президент, CFO, Опер. директор, CEO) — это 11,0 млн ₸ «на руки», или 68% ФОТ на 4 из 13 человек. Президент и CFO вдвоём — 52,6%. Соотношение макс./мин. оклада ≈ 33:1. Высокая концентрация: риск демотивации середины и зависимости от 1–2 персон.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Дублирование верхнего уровня. </w:t>
      </w:r>
      <w:r>
        <w:rPr>
          <w:b w:val="0"/>
          <w:color w:val="2A3746"/>
          <w:sz w:val="22"/>
        </w:rPr>
        <w:t>Есть Президент, CEO и Операционный директор — три «первых» роли. До запуска KPI необходимо жёстко развести зоны ответственности (стратегия/капитал/внешнее ↔ операционный P&amp;L ↔ операции/логистика), иначе показатели будут пересекаться.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Нет вилок и грейдов. </w:t>
      </w:r>
      <w:r>
        <w:rPr>
          <w:b w:val="0"/>
          <w:color w:val="2A3746"/>
          <w:sz w:val="22"/>
        </w:rPr>
        <w:t>Одна должность «Менеджер по логистике» оплачивается от 150 000 до 800 000 ₸ (разброс 5,3×). Либо это разные грейды (junior/middle/senior) — тогда их надо формализовать, — либо это несистемность в оплате. Это первое, что видит совет директоров.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100% фикс, 0% переменной. </w:t>
      </w:r>
      <w:r>
        <w:rPr>
          <w:b w:val="0"/>
          <w:color w:val="2A3746"/>
          <w:sz w:val="22"/>
        </w:rPr>
        <w:t>Вся оплата — оклад. Ни одного тенге «под результат». В такой структуре мотивации нет by design: вознаграждение одинаково при любом результате. Любая система KPI начинается с выделения переменной части.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Функциональный перекос. </w:t>
      </w:r>
      <w:r>
        <w:rPr>
          <w:b w:val="0"/>
          <w:color w:val="2A3746"/>
          <w:sz w:val="22"/>
        </w:rPr>
        <w:t>5 из 13 (38%) — логистика. При этом в ведомости нет явной коммерческой/сбытовой роли, кроме «менеджера по закрытию». Структурный вопрос к совету: кто персонально отвечает за выручку и её KPI.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Стоимость ↔ результат. </w:t>
      </w:r>
      <w:r>
        <w:rPr>
          <w:b w:val="0"/>
          <w:color w:val="2A3746"/>
          <w:sz w:val="22"/>
        </w:rPr>
        <w:t>267 млн ₸/год — существенная статья. Совет вправе требовать, чтобы переменная часть топ-менеджмента была жёстко привязана к P&amp;L и денежному потоку и финансировалась из созданной стоимости (см. раздел 4.3, gain-sharing).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2. Методология системы мотивации и KPI</w:t>
      </w:r>
    </w:p>
    <w:p>
      <w:pPr>
        <w:pStyle w:val="Heading2"/>
      </w:pPr>
      <w:r>
        <w:rPr>
          <w:rFonts w:ascii="Calibri" w:hAnsi="Calibri"/>
          <w:color w:val="2F6690"/>
        </w:rPr>
        <w:t>2.1. Принципы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Совокупное вознаграждение = Оклад (фикс) + Премия по KPI (переменная) [+ долгосрочная часть для топ-менеджмента].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Прозрачность: каждый сотрудник заранее знает свои 3–6 KPI, их веса, пороги и формулу расчёта премии.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Каскад целей: корпоративные KPI → функциональные/командные → индивидуальные. Вес корпоративных растёт с уровнем должности.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Только измеримое: каждый KPI — SMART, с источником данных и ответственным за факт. Никаких «оценок на глаз» без метрики.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Самофинансирование: премиальный фонд формируется из результата (gain-sharing), а не «сверху» — платим, когда компания заработала.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Стоп-факторы (гейты): нарушение по безопасности/комплаенсу/критический инцидент обнуляет или уменьшает премию независимо от KPI.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Справедливость: единые правила и калибровка результатов Комитетом по KPI — против «любимчиков» и инфляции оценок.</w:t>
      </w:r>
    </w:p>
    <w:p>
      <w:pPr>
        <w:pStyle w:val="Heading2"/>
      </w:pPr>
      <w:r>
        <w:rPr>
          <w:rFonts w:ascii="Calibri" w:hAnsi="Calibri"/>
          <w:color w:val="2F6690"/>
        </w:rPr>
        <w:t>2.2. Формула вознаграждения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Премия = Оклад × Целевой коэффициент × Итоговый % KPI × Модификатор компании × Гейт</w:t>
      </w:r>
    </w:p>
    <w:p>
      <w:pPr>
        <w:spacing w:after="120" w:before="40"/>
      </w:pPr>
      <w:r>
        <w:rPr>
          <w:b/>
          <w:i w:val="0"/>
          <w:color w:val="2F6690"/>
          <w:sz w:val="22"/>
        </w:rPr>
        <w:t>Итоговый % KPI = Σ (Достижение_i × Вес_i)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81"/>
            <w:shd w:val="clear" w:fill="13294B"/>
          </w:tcPr>
          <w:p>
            <w:r>
              <w:rPr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5102"/>
            <w:shd w:val="clear" w:fill="13294B"/>
          </w:tcPr>
          <w:p>
            <w:r>
              <w:rPr>
                <w:b/>
                <w:color w:val="FFFFFF"/>
                <w:sz w:val="20"/>
              </w:rPr>
              <w:t>Что означает</w:t>
            </w:r>
          </w:p>
        </w:tc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20"/>
              </w:rPr>
              <w:t>Диапазон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Целевой коэффициент</w:t>
            </w:r>
          </w:p>
        </w:tc>
        <w:tc>
          <w:tcPr>
            <w:tcW w:type="dxa" w:w="51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Целевая переменная часть от оклада за период (по грейду)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15–40%</w:t>
            </w:r>
          </w:p>
        </w:tc>
      </w:tr>
      <w:tr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Достижение по KPI_i</w:t>
            </w:r>
          </w:p>
        </w:tc>
        <w:tc>
          <w:tcPr>
            <w:tcW w:type="dxa" w:w="51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Факт vs порог/цель/супер-цель (threshold / target / stretch)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0–150%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Вес_i</w:t>
            </w:r>
          </w:p>
        </w:tc>
        <w:tc>
          <w:tcPr>
            <w:tcW w:type="dxa" w:w="51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Значимость KPI (сумма весов = 100%)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10–35%</w:t>
            </w:r>
          </w:p>
        </w:tc>
      </w:tr>
      <w:tr>
        <w:tc>
          <w:tcPr>
            <w:tcW w:type="dxa" w:w="2381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Модификатор компании</w:t>
            </w:r>
          </w:p>
        </w:tc>
        <w:tc>
          <w:tcPr>
            <w:tcW w:type="dxa" w:w="51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Множитель по результату компании (EBITDA/выручка)</w:t>
            </w:r>
          </w:p>
        </w:tc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0,7–1,3</w:t>
            </w:r>
          </w:p>
        </w:tc>
      </w:tr>
      <w:tr>
        <w:tc>
          <w:tcPr>
            <w:tcW w:type="dxa" w:w="2381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Гейт</w:t>
            </w:r>
          </w:p>
        </w:tc>
        <w:tc>
          <w:tcPr>
            <w:tcW w:type="dxa" w:w="51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Стоп-фактор (комплаенс/HSE/крит. инцидент)</w:t>
            </w:r>
          </w:p>
        </w:tc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0 / 0,5 / 1,0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Шкала достижения. </w:t>
      </w:r>
      <w:r>
        <w:rPr>
          <w:b w:val="0"/>
          <w:i w:val="0"/>
          <w:color w:val="2A3746"/>
          <w:sz w:val="22"/>
        </w:rPr>
        <w:t>Ниже порога — 0%; на пороге — 50%; на цели (target) — 100%; на супер-цели (stretch) — до 150% (кап). Между точками — линейная интерполяция.</w:t>
      </w:r>
    </w:p>
    <w:p>
      <w:pPr>
        <w:pStyle w:val="Heading2"/>
      </w:pPr>
      <w:r>
        <w:rPr>
          <w:rFonts w:ascii="Calibri" w:hAnsi="Calibri"/>
          <w:color w:val="2F6690"/>
        </w:rPr>
        <w:t>2.3. Грейды и целевая переменная часть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14"/>
            <w:shd w:val="clear" w:fill="13294B"/>
          </w:tcPr>
          <w:p>
            <w:r>
              <w:rPr>
                <w:b/>
                <w:color w:val="FFFFFF"/>
                <w:sz w:val="20"/>
              </w:rPr>
              <w:t>Грейд</w:t>
            </w:r>
          </w:p>
        </w:tc>
        <w:tc>
          <w:tcPr>
            <w:tcW w:type="dxa" w:w="2608"/>
            <w:shd w:val="clear" w:fill="13294B"/>
          </w:tcPr>
          <w:p>
            <w:r>
              <w:rPr>
                <w:b/>
                <w:color w:val="FFFFFF"/>
                <w:sz w:val="20"/>
              </w:rPr>
              <w:t>Роли</w:t>
            </w:r>
          </w:p>
        </w:tc>
        <w:tc>
          <w:tcPr>
            <w:tcW w:type="dxa" w:w="1587"/>
            <w:shd w:val="clear" w:fill="13294B"/>
          </w:tcPr>
          <w:p>
            <w:r>
              <w:rPr>
                <w:b/>
                <w:color w:val="FFFFFF"/>
                <w:sz w:val="20"/>
              </w:rPr>
              <w:t>Целевая переменная (от оклада)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Веса: Компания / Функция / Индивид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20"/>
              </w:rPr>
              <w:t>Период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A. Топ-менеджмент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Президент, CEO, CFO, Опер. директор</w:t>
            </w:r>
          </w:p>
        </w:tc>
        <w:tc>
          <w:tcPr>
            <w:tcW w:type="dxa" w:w="158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40%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60 / 30 / 10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Квартал 40% + Год 60%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B. Средний менеджмент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Начальник отдела логистики, HR</w:t>
            </w:r>
          </w:p>
        </w:tc>
        <w:tc>
          <w:tcPr>
            <w:tcW w:type="dxa" w:w="158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40 / 40 / 20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Квартал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C. Специалисты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Юрист, HR менеджер</w:t>
            </w:r>
          </w:p>
        </w:tc>
        <w:tc>
          <w:tcPr>
            <w:tcW w:type="dxa" w:w="158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20–25%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 / 40 / 40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Квартал</w:t>
            </w:r>
          </w:p>
        </w:tc>
      </w:tr>
      <w:tr>
        <w:tc>
          <w:tcPr>
            <w:tcW w:type="dxa" w:w="181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D. Линейные (логистика)</w:t>
            </w:r>
          </w:p>
        </w:tc>
        <w:tc>
          <w:tcPr>
            <w:tcW w:type="dxa" w:w="2608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Менеджеры по логистике</w:t>
            </w:r>
          </w:p>
        </w:tc>
        <w:tc>
          <w:tcPr>
            <w:tcW w:type="dxa" w:w="158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15–20%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 / 30 / 50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Месяц/квартал</w:t>
            </w:r>
          </w:p>
        </w:tc>
      </w:tr>
      <w:tr>
        <w:tc>
          <w:tcPr>
            <w:tcW w:type="dxa" w:w="181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E. Коммерция/закрытие</w:t>
            </w:r>
          </w:p>
        </w:tc>
        <w:tc>
          <w:tcPr>
            <w:tcW w:type="dxa" w:w="2608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Менеджер по закрытию</w:t>
            </w:r>
          </w:p>
        </w:tc>
        <w:tc>
          <w:tcPr>
            <w:tcW w:type="dxa" w:w="158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30–40%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 / 20 / 60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Месяц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Логика: </w:t>
      </w:r>
      <w:r>
        <w:rPr>
          <w:b w:val="0"/>
          <w:i w:val="0"/>
          <w:color w:val="2A3746"/>
          <w:sz w:val="22"/>
        </w:rPr>
        <w:t>чем выше должность — тем больше «под результат» и тем сильнее привязка к результату всей компании. Чем ближе к «зарабатыванию» (закрытие сделок) — тем выше переменная часть.</w:t>
      </w:r>
    </w:p>
    <w:p>
      <w:pPr>
        <w:pStyle w:val="Heading2"/>
      </w:pPr>
      <w:r>
        <w:rPr>
          <w:rFonts w:ascii="Calibri" w:hAnsi="Calibri"/>
          <w:color w:val="2F6690"/>
        </w:rPr>
        <w:t>2.4. Каденс и управление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Периодичность. </w:t>
      </w:r>
      <w:r>
        <w:rPr>
          <w:b w:val="0"/>
          <w:color w:val="2A3746"/>
          <w:sz w:val="22"/>
        </w:rPr>
        <w:t>Линейные и коммерческие роли — ежемесячно/квартально (быстрая обратная связь); менеджмент — квартально; стратегическая часть топ-менеджмента — год.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Комитет по KPI. </w:t>
      </w:r>
      <w:r>
        <w:rPr>
          <w:b w:val="0"/>
          <w:color w:val="2A3746"/>
          <w:sz w:val="22"/>
        </w:rPr>
        <w:t>Президент/CEO (председатель), CFO, HR. Функции: утверждение целей, ежеквартальная калибровка результатов, разрешение спорных случаев, пересмотр порогов.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Цикл. </w:t>
      </w:r>
      <w:r>
        <w:rPr>
          <w:b w:val="0"/>
          <w:color w:val="2A3746"/>
          <w:sz w:val="22"/>
        </w:rPr>
        <w:t>Постановка целей (начало периода) → сбор факта (владелец данных) → расчёт (HR+Finance) → калибровка (Комитет) → выплата → ретроспектива и корректировка целей.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Оцифровка. </w:t>
      </w:r>
      <w:r>
        <w:rPr>
          <w:b w:val="0"/>
          <w:color w:val="2A3746"/>
          <w:sz w:val="22"/>
        </w:rPr>
        <w:t>Единый реестр KPI и дашборд (Excel-калькулятор прилагается; далее — BI/1С). Источник факта фиксируется по каждому KPI.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3. KPI-карты сотрудников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Формат карты: </w:t>
      </w:r>
      <w:r>
        <w:rPr>
          <w:b w:val="0"/>
          <w:i w:val="0"/>
          <w:color w:val="6B7A8D"/>
          <w:sz w:val="22"/>
        </w:rPr>
        <w:t>KPI · вес · единица · порог (threshold) · цель (target) · супер-цель (stretch) · источник факта. Сумма весов = 100%. Пороговые значения — ориентировочные, калибруются владельцем функции.</w:t>
      </w:r>
    </w:p>
    <w:p>
      <w:pPr>
        <w:pStyle w:val="Heading2"/>
      </w:pPr>
      <w:r>
        <w:rPr>
          <w:rFonts w:ascii="Calibri" w:hAnsi="Calibri"/>
          <w:color w:val="2F6690"/>
        </w:rPr>
        <w:t>3.1. Серикбаев Адиль — Президент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A · целевая переменная 40% · период: Год (60%) + квартал (40%)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Выручка компании vs план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115%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P&amp;L, факт продаж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EBITDA / чистая прибыль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+15%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Финотчётность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Стратег. инициативы (новые направления / M&amp;A / рынки)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вех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 проекта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Привлечённое финансирование / денежный поток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ДДС, банк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Удержание топ-команды / eNPS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92%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HR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governance, капитал, стратегия и внешние отношения; переменная часть полностью гейтится EBITDA (платится из заработанного).</w:t>
      </w:r>
    </w:p>
    <w:p>
      <w:pPr>
        <w:pStyle w:val="Heading2"/>
      </w:pPr>
      <w:r>
        <w:rPr>
          <w:rFonts w:ascii="Calibri" w:hAnsi="Calibri"/>
          <w:color w:val="2F6690"/>
        </w:rPr>
        <w:t>3.2. Данияр Алим — CEO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A · целевая переменная 40% · период: Год +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Выручка vs план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115%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P&amp;L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Операционная маржа / EBITDA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Финотчётность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Выполнение бизнес-плана / годовых OKR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целей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OKR-реестр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Денежный цикл (CCC) / оборотный капитал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Finance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Кросс-функц. цель (OTIF/качество) / eNPS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Опер./HR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внутренний операционный P&amp;L и исполнение бизнес-плана (в отличие от Президента — внешний контур и капитал).</w:t>
      </w:r>
    </w:p>
    <w:p>
      <w:pPr>
        <w:pStyle w:val="Heading2"/>
      </w:pPr>
      <w:r>
        <w:rPr>
          <w:rFonts w:ascii="Calibri" w:hAnsi="Calibri"/>
          <w:color w:val="2F6690"/>
        </w:rPr>
        <w:t>3.3. Аубакиров Алимбек — CFO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A · целевая переменная 40% · период: Квартал + год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бюджета (|факт−план|)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±10%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±5%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±2%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План/факт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Ликвидность / кассовый разрыв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мес. runway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ДДС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DSO — оборачиваемость дебиторки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−10%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−20%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AR-отчёт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Стоимость и привлечение финансирования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 / млн 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Казначейство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Быстрое закрытие + аудит/налоги без замечаний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 / 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 замеч.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Учёт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устойчивость финансов: бюджет, ликвидность, дебиторка, фондирование, дисциплина отчётности.</w:t>
      </w:r>
    </w:p>
    <w:p>
      <w:pPr>
        <w:pStyle w:val="Heading2"/>
      </w:pPr>
      <w:r>
        <w:rPr>
          <w:rFonts w:ascii="Calibri" w:hAnsi="Calibri"/>
          <w:color w:val="2F6690"/>
        </w:rPr>
        <w:t>3.4. Унбетпаев Ернар — Операционный директор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A · целевая переменная 40% · период: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OTIF — в срок и в полном объёме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WMS/учёт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Удельная себестоимость операций/логистики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₸/т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−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−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Утилизация мощностей / транспорта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Опер. отчёт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Оборачиваемость запасов / 0 срывов производства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дни / шт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Склад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HSE и качество (0 крит. инцидентов, брак)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 / 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HSE/ОТК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эффективность операций «на тонну» и надёжность цепочки поставок; HSE — гейт.</w:t>
      </w:r>
    </w:p>
    <w:p>
      <w:pPr>
        <w:pStyle w:val="Heading2"/>
      </w:pPr>
      <w:r>
        <w:rPr>
          <w:rFonts w:ascii="Calibri" w:hAnsi="Calibri"/>
          <w:color w:val="2F6690"/>
        </w:rPr>
        <w:t>3.5. Доолоткулов Данияр — Начальник отдела логистики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B · целевая переменная 30% · период: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On-time delivery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TMS/учёт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Стоимость доставки на тонну/рейс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−7%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−15%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Загрузка транспорта (fill rate)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Потери/претензии (claims)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Рекламации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Выполнение плана отдела / развитие команды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Опер. директор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срок, стоимость и качество доставки; вес управленческой части (команда, план отдела).</w:t>
      </w:r>
    </w:p>
    <w:p>
      <w:pPr>
        <w:pStyle w:val="Heading2"/>
      </w:pPr>
      <w:r>
        <w:rPr>
          <w:rFonts w:ascii="Calibri" w:hAnsi="Calibri"/>
          <w:color w:val="2F6690"/>
        </w:rPr>
        <w:t>3.6. Сибагатов Хамардин — Менеджер по логистике (senior/lead)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D · целевая переменная 20% · период: Месяц/квартал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Обработанные заявки/рейсы vs норма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Экономия на фрахте / маржа рейса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On-time % по своим рейсам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 (ошибки)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ЭДО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Отсутствие претензий / NPS клиента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Рекламации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senior-грейд: повышенная переменная и норматив, наставничество линейных менеджеров.</w:t>
      </w:r>
    </w:p>
    <w:p>
      <w:pPr>
        <w:pStyle w:val="Heading2"/>
      </w:pPr>
      <w:r>
        <w:rPr>
          <w:rFonts w:ascii="Calibri" w:hAnsi="Calibri"/>
          <w:color w:val="2F6690"/>
        </w:rPr>
        <w:t>3.7. Жунусова Камила — Менеджер по логистике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D · целевая переменная 15% · период: Месяц/квартал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Обработанные заявки/рейсы vs норма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Экономия на фрахте / маржа рейса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On-time % по своим рейсам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 (ошибки)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ЭДО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Отсутствие претензий / NPS клиента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Рекламации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3.8. Сейтқадыр Дарын — Менеджер по логистике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D · целевая переменная 15% · период: Месяц/квартал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Обработанные заявки/рейсы vs норма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Экономия на фрахте / маржа рейса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On-time % по своим рейсам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 (ошибки)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ЭДО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Отсутствие претензий / NPS клиента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Рекламации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3.9. Белова Полина — Менеджер по логистике (junior)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D · целевая переменная 15% · период: Месяц/квартал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Обработанные заявки/рейсы vs норма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Экономия на фрахте / маржа рейса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Костинг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On-time % по своим рейсам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95%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98%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TMS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 (ошибки)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ЭДО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Отсутствие претензий / NPS клиента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Рекламации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junior-грейд: норматив и порог ниже; фокус на скорость выхода на стандарт качества документов.</w:t>
      </w:r>
    </w:p>
    <w:p>
      <w:pPr>
        <w:pStyle w:val="Heading2"/>
      </w:pPr>
      <w:r>
        <w:rPr>
          <w:rFonts w:ascii="Calibri" w:hAnsi="Calibri"/>
          <w:color w:val="2F6690"/>
        </w:rPr>
        <w:t>3.10. Аманбекова Айгуль — HR (директор по персоналу)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B · целевая переменная 30% · период: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Закрытие ключевых вакансий в срок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 / 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ATS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Удержание ключевого персонала / текучесть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HR-учёт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eNPS / вовлечённость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балл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Опрос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Запуск системы KPI/мотивации + план обучения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 вех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60%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План HR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Соблюдение ФОТ-бюджета / точность payroll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±3%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±1%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 ошиб.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Finance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люди как актив: подбор, удержание, вовлечённость и корректное внедрение самой системы KPI.</w:t>
      </w:r>
    </w:p>
    <w:p>
      <w:pPr>
        <w:pStyle w:val="Heading2"/>
      </w:pPr>
      <w:r>
        <w:rPr>
          <w:rFonts w:ascii="Calibri" w:hAnsi="Calibri"/>
          <w:color w:val="2F6690"/>
        </w:rPr>
        <w:t>3.11. Байльденова Шолпан — HR менеджер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C · целевая переменная 20% · период: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Скорость подбора (time-to-hire)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ATS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Кадровый документооборот без нарушений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 / шт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100% в срок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 замеч.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Аудит ЕНбек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Точность и своевременность payroll/табеля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 ошиб.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Finance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Онбординг: прохождение испыт. срока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HR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Поддержка HR-инициатив/обучения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задач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HR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3.12. Ташметов Сакен — Юрист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C · целевая переменная 25% · период: Квартал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Согласование договоров в SLA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 / 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лучше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Реестр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Взысканная дебиторка / % выигранных споров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₸ / 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Претензии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Юр. риски: штрафы/просрочки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шт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Реестр рисков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Договорная защита: потери по спорам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млн ₸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Юр. учёт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Поддержка сделок/финансирования (due diligence)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15%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% вех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досрочно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Проекты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3.13. Таджимурадова Асем — Менеджер по закрытию</w:t>
      </w:r>
    </w:p>
    <w:p>
      <w:pPr>
        <w:spacing w:after="60" w:before="0"/>
      </w:pPr>
      <w:r>
        <w:rPr>
          <w:b/>
          <w:i w:val="0"/>
          <w:color w:val="C4772F"/>
          <w:sz w:val="20"/>
        </w:rPr>
        <w:t>Грейд E · целевая переменная 35% · период: Месяц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3515"/>
            <w:shd w:val="clear" w:fill="13294B"/>
          </w:tcPr>
          <w:p>
            <w:r>
              <w:rPr>
                <w:b/>
                <w:color w:val="FFFFFF"/>
                <w:sz w:val="17"/>
              </w:rPr>
              <w:t>KPI</w:t>
            </w:r>
          </w:p>
        </w:tc>
        <w:tc>
          <w:tcPr>
            <w:tcW w:type="dxa" w:w="624"/>
            <w:shd w:val="clear" w:fill="13294B"/>
          </w:tcPr>
          <w:p>
            <w:r>
              <w:rPr>
                <w:b/>
                <w:color w:val="FFFFFF"/>
                <w:sz w:val="17"/>
              </w:rPr>
              <w:t>Вес</w:t>
            </w:r>
          </w:p>
        </w:tc>
        <w:tc>
          <w:tcPr>
            <w:tcW w:type="dxa" w:w="907"/>
            <w:shd w:val="clear" w:fill="13294B"/>
          </w:tcPr>
          <w:p>
            <w:r>
              <w:rPr>
                <w:b/>
                <w:color w:val="FFFFFF"/>
                <w:sz w:val="17"/>
              </w:rPr>
              <w:t>Ед.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Порог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Цель</w:t>
            </w:r>
          </w:p>
        </w:tc>
        <w:tc>
          <w:tcPr>
            <w:tcW w:type="dxa" w:w="964"/>
            <w:shd w:val="clear" w:fill="13294B"/>
          </w:tcPr>
          <w:p>
            <w:r>
              <w:rPr>
                <w:b/>
                <w:color w:val="FFFFFF"/>
                <w:sz w:val="17"/>
              </w:rPr>
              <w:t>Stretch</w:t>
            </w:r>
          </w:p>
        </w:tc>
        <w:tc>
          <w:tcPr>
            <w:tcW w:type="dxa" w:w="1701"/>
            <w:shd w:val="clear" w:fill="13294B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Закрытые сделки/акты vs план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30%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₸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80%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100%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120%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CRM/учёт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Собираемость дебиторки (в срок)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30%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+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AR</w:t>
            </w:r>
          </w:p>
        </w:tc>
      </w:tr>
      <w:tr>
        <w:tc>
          <w:tcPr>
            <w:tcW w:type="dxa" w:w="3515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Срок закрытия документов</w:t>
            </w:r>
          </w:p>
        </w:tc>
        <w:tc>
          <w:tcPr>
            <w:tcW w:type="dxa" w:w="62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дни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быстрее</w:t>
            </w:r>
          </w:p>
        </w:tc>
        <w:tc>
          <w:tcPr>
            <w:tcW w:type="dxa" w:w="1701"/>
            <w:shd w:val="clear" w:fill="F1F5F9"/>
          </w:tcPr>
          <w:p>
            <w:r>
              <w:rPr>
                <w:b w:val="0"/>
                <w:color w:val="2A3746"/>
                <w:sz w:val="17"/>
              </w:rPr>
              <w:t>ЭДО</w:t>
            </w:r>
          </w:p>
        </w:tc>
      </w:tr>
      <w:tr>
        <w:tc>
          <w:tcPr>
            <w:tcW w:type="dxa" w:w="3515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Точность документов / 0 расхождений</w:t>
            </w:r>
          </w:p>
        </w:tc>
        <w:tc>
          <w:tcPr>
            <w:tcW w:type="dxa" w:w="62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20%</w:t>
            </w:r>
          </w:p>
        </w:tc>
        <w:tc>
          <w:tcPr>
            <w:tcW w:type="dxa" w:w="907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%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порог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цель</w:t>
            </w:r>
          </w:p>
        </w:tc>
        <w:tc>
          <w:tcPr>
            <w:tcW w:type="dxa" w:w="964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0</w:t>
            </w:r>
          </w:p>
        </w:tc>
        <w:tc>
          <w:tcPr>
            <w:tcW w:type="dxa" w:w="1701"/>
            <w:shd w:val="clear" w:fill="FFFFFF"/>
          </w:tcPr>
          <w:p>
            <w:r>
              <w:rPr>
                <w:b w:val="0"/>
                <w:color w:val="2A3746"/>
                <w:sz w:val="17"/>
              </w:rPr>
              <w:t>Сверка</w:t>
            </w:r>
          </w:p>
        </w:tc>
      </w:tr>
    </w:tbl>
    <w:p>
      <w:pPr>
        <w:spacing w:after="40"/>
      </w:pPr>
    </w:p>
    <w:p>
      <w:pPr>
        <w:spacing w:after="160" w:before="0"/>
      </w:pPr>
      <w:r>
        <w:rPr>
          <w:b/>
          <w:i w:val="0"/>
          <w:color w:val="13294B"/>
          <w:sz w:val="19"/>
        </w:rPr>
        <w:t xml:space="preserve">Акцент: </w:t>
      </w:r>
      <w:r>
        <w:rPr>
          <w:b w:val="0"/>
          <w:i w:val="0"/>
          <w:color w:val="2A3746"/>
          <w:sz w:val="19"/>
        </w:rPr>
        <w:t>квази-комиссионная роль: высокая переменная часть, ежемесячный расчёт, прямая привязка к деньгам и закрытым актам.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4. Положение о премировании (ключевые нормы)</w:t>
      </w:r>
    </w:p>
    <w:p>
      <w:pPr>
        <w:pStyle w:val="Heading2"/>
      </w:pPr>
      <w:r>
        <w:rPr>
          <w:rFonts w:ascii="Calibri" w:hAnsi="Calibri"/>
          <w:color w:val="2F6690"/>
        </w:rPr>
        <w:t>4.1. Расчёт индивидуальной премии</w:t>
      </w:r>
    </w:p>
    <w:p>
      <w:pPr>
        <w:spacing w:after="120" w:before="0"/>
      </w:pPr>
      <w:r>
        <w:rPr>
          <w:b/>
          <w:i w:val="0"/>
          <w:color w:val="13294B"/>
          <w:sz w:val="22"/>
        </w:rPr>
        <w:t>Премия за период = Оклад × Целевой коэффициент × Итоговый % KPI × Модификатор компании × Гейт.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Итоговый % KPI. </w:t>
      </w:r>
      <w:r>
        <w:rPr>
          <w:b w:val="0"/>
          <w:color w:val="2A3746"/>
          <w:sz w:val="22"/>
        </w:rPr>
        <w:t>Взвешенная сумма достижений по всем KPI карты; каждое достижение ограничено 0–150%.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Модификатор компании. </w:t>
      </w:r>
      <w:r>
        <w:rPr>
          <w:b w:val="0"/>
          <w:color w:val="2A3746"/>
          <w:sz w:val="22"/>
        </w:rPr>
        <w:t>Единый для всех множитель по результату компании за период: &lt;70% плана → 0,7; 100% → 1,0; ≥120% → 1,3.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Гейт (стоп-фактор). </w:t>
      </w:r>
      <w:r>
        <w:rPr>
          <w:b w:val="0"/>
          <w:color w:val="2A3746"/>
          <w:sz w:val="22"/>
        </w:rPr>
        <w:t>Критическое нарушение HSE/комплаенса/утрата актива или грубое нарушение дисциплины → премия × 0 или × 0,5 по решению Комитета, независимо от KPI.</w:t>
      </w:r>
    </w:p>
    <w:p>
      <w:pPr>
        <w:pStyle w:val="ListBullet"/>
        <w:spacing w:after="60"/>
      </w:pPr>
      <w:r>
        <w:rPr>
          <w:b/>
          <w:color w:val="13294B"/>
          <w:sz w:val="22"/>
        </w:rPr>
        <w:t xml:space="preserve">Кап. </w:t>
      </w:r>
      <w:r>
        <w:rPr>
          <w:b w:val="0"/>
          <w:color w:val="2A3746"/>
          <w:sz w:val="22"/>
        </w:rPr>
        <w:t>Итоговая премия за период ограничена сверху 150% целевой; сумма выплат — премиальным фондом периода (раздел 4.3).</w:t>
      </w:r>
    </w:p>
    <w:p>
      <w:pPr>
        <w:pStyle w:val="Heading2"/>
      </w:pPr>
      <w:r>
        <w:rPr>
          <w:rFonts w:ascii="Calibri" w:hAnsi="Calibri"/>
          <w:color w:val="2F6690"/>
        </w:rPr>
        <w:t>4.2. Пример расчёта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Менеджер по логистике (middle), оклад 200 000 ₸, целевой коэффициент 15% (за месяц), период — месяц.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  <w:shd w:val="clear" w:fill="13294B"/>
          </w:tcPr>
          <w:p>
            <w:r>
              <w:rPr>
                <w:b/>
                <w:color w:val="FFFFFF"/>
                <w:sz w:val="20"/>
              </w:rPr>
              <w:t>Шаг</w:t>
            </w:r>
          </w:p>
        </w:tc>
        <w:tc>
          <w:tcPr>
            <w:tcW w:type="dxa" w:w="5953"/>
            <w:shd w:val="clear" w:fill="13294B"/>
          </w:tcPr>
          <w:p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Целевая премия при 100%</w:t>
            </w:r>
          </w:p>
        </w:tc>
        <w:tc>
          <w:tcPr>
            <w:tcW w:type="dxa" w:w="5953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200 000 × 15% = 30 000 ₸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Итоговый % KPI (факт)</w:t>
            </w:r>
          </w:p>
        </w:tc>
        <w:tc>
          <w:tcPr>
            <w:tcW w:type="dxa" w:w="5953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заявки 110% ×0,25 + маржа 100% ×0,25 + OTIF 95%→100% ×0,20 + доки 100% ×0,15 + NPS 90% ×0,15 = ≈101,5%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Модификатор компании</w:t>
            </w:r>
          </w:p>
        </w:tc>
        <w:tc>
          <w:tcPr>
            <w:tcW w:type="dxa" w:w="5953"/>
            <w:shd w:val="clear" w:fill="F1F5F9"/>
          </w:tcPr>
          <w:p>
            <w:r>
              <w:rPr>
                <w:b w:val="0"/>
                <w:color w:val="2A3746"/>
                <w:sz w:val="19"/>
              </w:rPr>
              <w:t>1,05 (компания 105% плана)</w:t>
            </w:r>
          </w:p>
        </w:tc>
      </w:tr>
      <w:tr>
        <w:tc>
          <w:tcPr>
            <w:tcW w:type="dxa" w:w="3402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Гейт</w:t>
            </w:r>
          </w:p>
        </w:tc>
        <w:tc>
          <w:tcPr>
            <w:tcW w:type="dxa" w:w="5953"/>
            <w:shd w:val="clear" w:fill="FFFFFF"/>
          </w:tcPr>
          <w:p>
            <w:r>
              <w:rPr>
                <w:b w:val="0"/>
                <w:color w:val="2A3746"/>
                <w:sz w:val="19"/>
              </w:rPr>
              <w:t>1,0 (нарушений нет)</w:t>
            </w:r>
          </w:p>
        </w:tc>
      </w:tr>
      <w:tr>
        <w:tc>
          <w:tcPr>
            <w:tcW w:type="dxa" w:w="3402"/>
            <w:shd w:val="clear" w:fill="F1F5F9"/>
          </w:tcPr>
          <w:p>
            <w:r>
              <w:rPr>
                <w:b/>
                <w:color w:val="2A3746"/>
                <w:sz w:val="19"/>
              </w:rPr>
              <w:t>Премия к выплате</w:t>
            </w:r>
          </w:p>
        </w:tc>
        <w:tc>
          <w:tcPr>
            <w:tcW w:type="dxa" w:w="5953"/>
            <w:shd w:val="clear" w:fill="F1F5F9"/>
          </w:tcPr>
          <w:p>
            <w:r>
              <w:rPr>
                <w:b/>
                <w:color w:val="2A3746"/>
                <w:sz w:val="19"/>
              </w:rPr>
              <w:t>30 000 × 1,015 × 1,05 × 1,0 ≈ 31 973 ₸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/>
          <w:color w:val="2F6690"/>
        </w:rPr>
        <w:t>4.3. Финансирование премиального фонда (gain-sharing)</w:t>
      </w:r>
    </w:p>
    <w:p>
      <w:pPr>
        <w:spacing w:after="120" w:before="0"/>
      </w:pPr>
      <w:r>
        <w:rPr>
          <w:b/>
          <w:i w:val="0"/>
          <w:color w:val="C4772F"/>
          <w:sz w:val="22"/>
        </w:rPr>
        <w:t xml:space="preserve">Принцип: </w:t>
      </w:r>
      <w:r>
        <w:rPr>
          <w:b w:val="0"/>
          <w:i w:val="0"/>
          <w:color w:val="2A3746"/>
          <w:sz w:val="22"/>
        </w:rPr>
        <w:t>фонд формируется из созданной стоимости, а не «сверх» бюджета. Рекомендуемая формула фонда периода — доля от EBITDA (или валовой прибыли) сверх порога, с верхним ограничением. Так система самоокупается и не создаёт необеспеченных обязательств.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75"/>
            <w:shd w:val="clear" w:fill="13294B"/>
          </w:tcPr>
          <w:p>
            <w:r>
              <w:rPr>
                <w:b/>
                <w:color w:val="FFFFFF"/>
                <w:sz w:val="20"/>
              </w:rPr>
              <w:t>Сценарий результата компании</w:t>
            </w:r>
          </w:p>
        </w:tc>
        <w:tc>
          <w:tcPr>
            <w:tcW w:type="dxa" w:w="1361"/>
            <w:shd w:val="clear" w:fill="13294B"/>
          </w:tcPr>
          <w:p>
            <w:r>
              <w:rPr>
                <w:b/>
                <w:color w:val="FFFFFF"/>
                <w:sz w:val="20"/>
              </w:rPr>
              <w:t>Модификатор</w:t>
            </w:r>
          </w:p>
        </w:tc>
        <w:tc>
          <w:tcPr>
            <w:tcW w:type="dxa" w:w="2041"/>
            <w:shd w:val="clear" w:fill="13294B"/>
          </w:tcPr>
          <w:p>
            <w:r>
              <w:rPr>
                <w:b/>
                <w:color w:val="FFFFFF"/>
                <w:sz w:val="20"/>
              </w:rPr>
              <w:t>Целевой фонд*</w:t>
            </w:r>
          </w:p>
        </w:tc>
        <w:tc>
          <w:tcPr>
            <w:tcW w:type="dxa" w:w="2721"/>
            <w:shd w:val="clear" w:fill="13294B"/>
          </w:tcPr>
          <w:p>
            <w:r>
              <w:rPr>
                <w:b/>
                <w:color w:val="FFFFFF"/>
                <w:sz w:val="20"/>
              </w:rPr>
              <w:t>Комментарий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&lt; порога (нет прибыли к плану)</w:t>
            </w:r>
          </w:p>
        </w:tc>
        <w:tc>
          <w:tcPr>
            <w:tcW w:type="dxa" w:w="136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0,0–0,7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≈ 0</w:t>
            </w:r>
          </w:p>
        </w:tc>
        <w:tc>
          <w:tcPr>
            <w:tcW w:type="dxa" w:w="272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Премии не выплачиваются / минимум</w:t>
            </w:r>
          </w:p>
        </w:tc>
      </w:tr>
      <w:tr>
        <w:tc>
          <w:tcPr>
            <w:tcW w:type="dxa" w:w="3175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На плане (100%)</w:t>
            </w:r>
          </w:p>
        </w:tc>
        <w:tc>
          <w:tcPr>
            <w:tcW w:type="dxa" w:w="136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1,0</w:t>
            </w:r>
          </w:p>
        </w:tc>
        <w:tc>
          <w:tcPr>
            <w:tcW w:type="dxa" w:w="204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≈ 84 млн ₸/год</w:t>
            </w:r>
          </w:p>
        </w:tc>
        <w:tc>
          <w:tcPr>
            <w:tcW w:type="dxa" w:w="2721"/>
            <w:shd w:val="clear" w:fill="FFFFFF"/>
          </w:tcPr>
          <w:p>
            <w:r>
              <w:rPr>
                <w:b w:val="0"/>
                <w:color w:val="2A3746"/>
                <w:sz w:val="18"/>
              </w:rPr>
              <w:t>Целевые премии по всем грейдам</w:t>
            </w:r>
          </w:p>
        </w:tc>
      </w:tr>
      <w:tr>
        <w:tc>
          <w:tcPr>
            <w:tcW w:type="dxa" w:w="3175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Перевыполнение (120%+)</w:t>
            </w:r>
          </w:p>
        </w:tc>
        <w:tc>
          <w:tcPr>
            <w:tcW w:type="dxa" w:w="136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до 1,3</w:t>
            </w:r>
          </w:p>
        </w:tc>
        <w:tc>
          <w:tcPr>
            <w:tcW w:type="dxa" w:w="204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до ≈ 100+ млн ₸/год</w:t>
            </w:r>
          </w:p>
        </w:tc>
        <w:tc>
          <w:tcPr>
            <w:tcW w:type="dxa" w:w="2721"/>
            <w:shd w:val="clear" w:fill="F1F5F9"/>
          </w:tcPr>
          <w:p>
            <w:r>
              <w:rPr>
                <w:b w:val="0"/>
                <w:color w:val="2A3746"/>
                <w:sz w:val="18"/>
              </w:rPr>
              <w:t>Кап по фонду и по индивиду</w:t>
            </w:r>
          </w:p>
        </w:tc>
      </w:tr>
    </w:tbl>
    <w:p>
      <w:pPr>
        <w:spacing w:after="40"/>
      </w:pPr>
    </w:p>
    <w:p>
      <w:pPr>
        <w:spacing w:after="120" w:before="0"/>
      </w:pPr>
      <w:r>
        <w:rPr>
          <w:b w:val="0"/>
          <w:i w:val="0"/>
          <w:color w:val="6B7A8D"/>
          <w:sz w:val="18"/>
        </w:rPr>
        <w:t>* Ориентир целевого годового фонда при 100% достижении ≈ 84 млн ₸ (≈35% годового оклада, ≈31% полного ФОТ). Из них ≈59% приходится на 2 топ-роли (Президент+CFO) — их переменную рекомендуется полностью гейтить EBITDA и частично делать отложенной (годовой/долгосрочной). Итоговый фонд к утверждению CFO ограничивает потолком по доступной EBITDA.</w:t>
      </w:r>
    </w:p>
    <w:p>
      <w:pPr>
        <w:pStyle w:val="Heading2"/>
      </w:pPr>
      <w:r>
        <w:rPr>
          <w:rFonts w:ascii="Calibri" w:hAnsi="Calibri"/>
          <w:color w:val="2F6690"/>
        </w:rPr>
        <w:t>4.4. Правила и защита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KPI и веса фиксируются в KPI-карте и допсоглашении к трудовому договору; изменение — только через Комитет, до начала периода.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Отсутствие факта по KPI по вине сотрудника = 0% по этому KPI; по независящим причинам — исключается и веса перераспределяются.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Новые сотрудники — премия pro rata по отработанному периоду после испытательного срока.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Спорные случаи — Комитет по KPI; окончательное решение по нестандартным ситуациям остаётся за Президентом/CEO.</w:t>
      </w:r>
    </w:p>
    <w:p>
      <w:pPr>
        <w:pStyle w:val="ListBullet"/>
        <w:spacing w:after="60"/>
      </w:pPr>
      <w:r>
        <w:rPr>
          <w:b w:val="0"/>
          <w:color w:val="2A3746"/>
          <w:sz w:val="22"/>
        </w:rPr>
        <w:t>Пороги пересматриваются раз в год (или при существенном изменении рынка/структуры) во избежание «инфляции целей».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3294B"/>
        </w:rPr>
        <w:t>5. Проект приказа</w:t>
      </w:r>
    </w:p>
    <w:p>
      <w:pPr>
        <w:pBdr>
          <w:bottom w:val="single" w:sz="6" w:space="1" w:color="C4772F"/>
        </w:pBdr>
        <w:spacing w:after="40"/>
      </w:pPr>
    </w:p>
    <w:p>
      <w:pPr>
        <w:spacing w:after="40" w:before="0"/>
        <w:jc w:val="center"/>
      </w:pPr>
      <w:r>
        <w:rPr>
          <w:b/>
          <w:i w:val="0"/>
          <w:color w:val="13294B"/>
          <w:sz w:val="22"/>
        </w:rPr>
        <w:t>Waystar Group  (полное наименование юрлица — уточнить)</w:t>
      </w:r>
    </w:p>
    <w:p>
      <w:pPr>
        <w:spacing w:after="40" w:before="0"/>
        <w:jc w:val="center"/>
      </w:pPr>
      <w:r>
        <w:rPr>
          <w:b/>
          <w:i w:val="0"/>
          <w:color w:val="13294B"/>
          <w:sz w:val="28"/>
        </w:rPr>
        <w:t>ПРИКАЗ</w:t>
      </w:r>
    </w:p>
    <w:p>
      <w:pPr>
        <w:spacing w:after="160" w:before="0"/>
        <w:jc w:val="center"/>
      </w:pPr>
      <w:r>
        <w:rPr>
          <w:b w:val="0"/>
          <w:i w:val="0"/>
          <w:color w:val="2A3746"/>
          <w:sz w:val="22"/>
        </w:rPr>
        <w:t>г. ____________               № ______               «____» __________ 2026 г.</w:t>
      </w:r>
    </w:p>
    <w:p>
      <w:pPr>
        <w:spacing w:after="160" w:before="0"/>
        <w:jc w:val="center"/>
      </w:pPr>
      <w:r>
        <w:rPr>
          <w:b/>
          <w:i w:val="0"/>
          <w:color w:val="13294B"/>
          <w:sz w:val="22"/>
        </w:rPr>
        <w:t>О внедрении системы ключевых показателей эффективности (KPI) и премирования сотрудников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В целях повышения эффективности деятельности, обеспечения прозрачности оплаты труда и привязки вознаграждения сотрудников к результатам компании, ПРИКАЗЫВАЮ:</w:t>
      </w:r>
    </w:p>
    <w:p>
      <w:pPr>
        <w:pStyle w:val="ListNumber"/>
        <w:spacing w:after="60"/>
      </w:pPr>
      <w:r>
        <w:rPr>
          <w:b/>
          <w:color w:val="2A3746"/>
          <w:sz w:val="22"/>
        </w:rPr>
        <w:t>Утвердить и ввести в действие с «01» ________ 2026 г.:</w:t>
      </w:r>
    </w:p>
    <w:p>
      <w:pPr>
        <w:spacing w:after="40" w:before="0"/>
      </w:pPr>
      <w:r>
        <w:rPr>
          <w:b w:val="0"/>
          <w:i w:val="0"/>
          <w:color w:val="2A3746"/>
          <w:sz w:val="21"/>
        </w:rPr>
        <w:t>1.1. Методологию системы мотивации и KPI (раздел 2 настоящего документа) — Приложение 1.</w:t>
      </w:r>
    </w:p>
    <w:p>
      <w:pPr>
        <w:spacing w:after="40" w:before="0"/>
      </w:pPr>
      <w:r>
        <w:rPr>
          <w:b w:val="0"/>
          <w:i w:val="0"/>
          <w:color w:val="2A3746"/>
          <w:sz w:val="21"/>
        </w:rPr>
        <w:t>1.2. Положение о премировании (раздел 4) — Приложение 2.</w:t>
      </w:r>
    </w:p>
    <w:p>
      <w:pPr>
        <w:spacing w:after="40" w:before="0"/>
      </w:pPr>
      <w:r>
        <w:rPr>
          <w:b w:val="0"/>
          <w:i w:val="0"/>
          <w:color w:val="2A3746"/>
          <w:sz w:val="21"/>
        </w:rPr>
        <w:t>1.3. KPI-карты сотрудников (раздел 3) — Приложение 3.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Установить структуру вознаграждения «фиксированная часть (оклад) + переменная часть (премия по KPI)» согласно грейдам (раздел 2.3). Действующие оклады не снижать; переменную часть ввести дополнительно, по грейдам A–E.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Формировать премиальный фонд по принципу самофинансирования (gain-sharing) — как долю от EBITDA/валовой прибыли сверх порога, с ограничением потолком доступной EBITDA (раздел 4.3).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Создать Комитет по KPI в составе: Президент/CEO (председатель), CFO, HR. Периодичность пересмотра целей и калибровки результатов — ежеквартально.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HR (Аманбекова А.Б.) — до «____» __________ 2026 г. довести приказ до сотрудников под роспись, организовать подписание KPI-карт и дополнительных соглашений к трудовым договорам, вести реестр KPI.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CFO (Аубакиров А.Е.) — обеспечить бюджет и расчёт премиального фонда, контроль потолка выплат и корректность начислений/налогов.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Руководителям функций — до «____» __________ 2026 г. откалибровать пороговые значения (threshold/target/stretch) своих KPI-карт и назначить владельцев факта по каждому показателю.</w:t>
      </w:r>
    </w:p>
    <w:p>
      <w:pPr>
        <w:pStyle w:val="ListNumber"/>
        <w:spacing w:after="60"/>
      </w:pPr>
      <w:r>
        <w:rPr>
          <w:b w:val="0"/>
          <w:color w:val="2A3746"/>
          <w:sz w:val="22"/>
        </w:rPr>
        <w:t>Контроль за исполнением приказа оставляю за собой.</w:t>
      </w:r>
    </w:p>
    <w:p>
      <w:pPr>
        <w:spacing w:after="120" w:before="120"/>
      </w:pPr>
      <w:r>
        <w:rPr>
          <w:b w:val="0"/>
          <w:i w:val="0"/>
          <w:color w:val="6B7A8D"/>
          <w:sz w:val="20"/>
        </w:rPr>
        <w:t>Приложения: 1) Методология; 2) Положение о премировании; 3) KPI-карты сотрудников; 4) Excel-калькулятор премий.</w:t>
      </w:r>
    </w:p>
    <w:p>
      <w:pPr>
        <w:spacing w:after="200" w:before="0"/>
      </w:pPr>
      <w:r>
        <w:rPr>
          <w:b w:val="0"/>
          <w:i w:val="0"/>
          <w:color w:val="2A3746"/>
          <w:sz w:val="22"/>
        </w:rPr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  <w:t>Президент Waystar Group    ______________________    Серикбаев А.</w:t>
      </w:r>
    </w:p>
    <w:p>
      <w:pPr>
        <w:spacing w:after="120" w:before="0"/>
      </w:pPr>
      <w:r>
        <w:rPr>
          <w:b w:val="0"/>
          <w:i w:val="0"/>
          <w:color w:val="2A3746"/>
          <w:sz w:val="22"/>
        </w:rPr>
      </w:r>
    </w:p>
    <w:p>
      <w:pPr>
        <w:spacing w:after="120" w:before="0"/>
      </w:pPr>
      <w:r>
        <w:rPr>
          <w:b w:val="0"/>
          <w:i w:val="0"/>
          <w:color w:val="6B7A8D"/>
          <w:sz w:val="20"/>
        </w:rPr>
        <w:t>С приказом ознакомлены:  ______________________________________________________</w:t>
      </w:r>
    </w:p>
    <w:p>
      <w:pPr>
        <w:spacing w:after="120" w:before="160"/>
      </w:pPr>
      <w:r>
        <w:rPr>
          <w:b/>
          <w:i w:val="0"/>
          <w:color w:val="C4772F"/>
          <w:sz w:val="18"/>
        </w:rPr>
        <w:t xml:space="preserve">Примечание. </w:t>
      </w:r>
      <w:r>
        <w:rPr>
          <w:b w:val="0"/>
          <w:i w:val="0"/>
          <w:color w:val="6B7A8D"/>
          <w:sz w:val="18"/>
        </w:rPr>
        <w:t>Проект. Наименование юрлица, реквизиты, даты, распределение ролей «Президент/CEO» и точные пороги KPI — уточнить перед подписанием. Числовые значения ФОТ приведены по управленческой ведомости и подлежат сверке с бухгалтерией.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A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