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F6690"/>
          <w:sz w:val="26"/>
        </w:rPr>
        <w:t>WAYSTAR GROUP</w:t>
      </w:r>
    </w:p>
    <w:p>
      <w:pPr>
        <w:pStyle w:val="Title"/>
      </w:pPr>
      <w:r>
        <w:rPr>
          <w:rFonts w:ascii="Calibri" w:hAnsi="Calibri"/>
          <w:color w:val="13294B"/>
        </w:rPr>
        <w:t>Система мотивации и показателей эффективности</w:t>
      </w:r>
    </w:p>
    <w:p>
      <w:pPr>
        <w:spacing w:after="200" w:before="0"/>
      </w:pPr>
      <w:r>
        <w:rPr>
          <w:b w:val="0"/>
          <w:i w:val="0"/>
          <w:color w:val="6B7A8D"/>
          <w:sz w:val="22"/>
        </w:rPr>
        <w:t>Модель 75/25 · Оценка ФОТ · Методология · Карты показателей · Привязка к прибыли · Положение о премировании · Проект приказа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Суть модели. </w:t>
      </w:r>
      <w:r>
        <w:rPr>
          <w:b w:val="0"/>
          <w:i w:val="0"/>
          <w:color w:val="2A3746"/>
          <w:sz w:val="22"/>
        </w:rPr>
        <w:t xml:space="preserve">Действующая заработная плата делится на </w:t>
      </w:r>
      <w:r>
        <w:rPr>
          <w:b/>
          <w:i w:val="0"/>
          <w:color w:val="13294B"/>
          <w:sz w:val="22"/>
        </w:rPr>
        <w:t>75% постоянной (гарантированной) и 25% переменной части</w:t>
      </w:r>
      <w:r>
        <w:rPr>
          <w:b w:val="0"/>
          <w:i w:val="0"/>
          <w:color w:val="2A3746"/>
          <w:sz w:val="22"/>
        </w:rPr>
        <w:t>. Переменная часть выделяется из текущей оплаты (не добавляется сверху): при выполнении целей на 100% сотрудник получает свою текущую сумму, при недовыполнении — теряет часть, при перевыполнении — зарабатывает больше. Эти 25% и держат людей в тонусе.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Как в сильных транспортно-логистических компаниях. </w:t>
      </w:r>
      <w:r>
        <w:rPr>
          <w:b w:val="0"/>
          <w:i w:val="0"/>
          <w:color w:val="2A3746"/>
          <w:sz w:val="22"/>
        </w:rPr>
        <w:t xml:space="preserve">Каждый рейс и каждый клиент рассматриваются как источник прибыли. У сотрудников передовой линии (фронт) переменная часть привязана к личной или командной </w:t>
      </w:r>
      <w:r>
        <w:rPr>
          <w:b/>
          <w:i w:val="0"/>
          <w:color w:val="13294B"/>
          <w:sz w:val="22"/>
        </w:rPr>
        <w:t>валовой прибыли (марже)</w:t>
      </w:r>
      <w:r>
        <w:rPr>
          <w:b w:val="0"/>
          <w:i w:val="0"/>
          <w:color w:val="2A3746"/>
          <w:sz w:val="22"/>
        </w:rPr>
        <w:t>, соблюдению сроков доставки, загрузке транспорта и сохранности груза. Поддерживающие подразделения (тыл) получают долю переменной от чистой прибыли компании — чтобы весь коллектив тянул в одну сторону.</w:t>
      </w:r>
    </w:p>
    <w:p>
      <w:pPr>
        <w:spacing w:after="120" w:before="0"/>
      </w:pPr>
      <w:r>
        <w:rPr>
          <w:b/>
          <w:i w:val="0"/>
          <w:color w:val="2E7D46"/>
          <w:sz w:val="22"/>
        </w:rPr>
        <w:t xml:space="preserve">Основной принцип привязки к прибыли: </w:t>
      </w:r>
      <w:r>
        <w:rPr>
          <w:b w:val="0"/>
          <w:i w:val="0"/>
          <w:color w:val="2A3746"/>
          <w:sz w:val="22"/>
        </w:rPr>
        <w:t>каждый сотрудник передовой линии приносит валовую прибыль не менее чем в K раз выше собственной стоимости (фонда оплаты труда).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Статус. </w:t>
      </w:r>
      <w:r>
        <w:rPr>
          <w:b w:val="0"/>
          <w:i w:val="0"/>
          <w:color w:val="6B7A8D"/>
          <w:sz w:val="22"/>
        </w:rPr>
        <w:t>Проект. Числовые пороги и коэффициент K настраиваются по управленческой отчётности; наименование юридического лица и разграничение ролей «Президент/Генеральный директор» — уточнить перед подписанием.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1. Оценка фонда оплаты труда</w:t>
      </w:r>
    </w:p>
    <w:p>
      <w:pPr>
        <w:pStyle w:val="Heading2"/>
      </w:pPr>
      <w:r>
        <w:rPr>
          <w:rFonts w:ascii="Calibri" w:hAnsi="Calibri"/>
          <w:color w:val="2F6690"/>
        </w:rPr>
        <w:t>1.1. Ключевые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fill="13294B"/>
          </w:tcPr>
          <w:p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2041"/>
            <w:shd w:val="clear" w:fill="13294B"/>
          </w:tcPr>
          <w:p>
            <w:r>
              <w:rPr>
                <w:b/>
                <w:color w:val="FFFFFF"/>
                <w:sz w:val="20"/>
              </w:rPr>
              <w:t>Значение (в месяц)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20"/>
              </w:rPr>
              <w:t>В год</w:t>
            </w:r>
          </w:p>
        </w:tc>
        <w:tc>
          <w:tcPr>
            <w:tcW w:type="dxa" w:w="2381"/>
            <w:shd w:val="clear" w:fill="13294B"/>
          </w:tcPr>
          <w:p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Оклад начисленный (с отчислениями)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19 834 098 ₸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238,0 млн ₸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База начисления и деления 75/25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Заработная плата на руки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16 150 000 ₸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193,8 млн ₸</w:t>
            </w:r>
          </w:p>
        </w:tc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Выплата сотрудникам</w:t>
            </w:r>
          </w:p>
        </w:tc>
      </w:tr>
      <w:tr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Налоги и отчисления с зарплаты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6 130 320 ₸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73,6 млн ₸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+38% к сумме «на руки»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b/>
                <w:color w:val="2A3746"/>
                <w:sz w:val="19"/>
              </w:rPr>
              <w:t>Полная стоимость (со всеми налогами)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/>
                <w:color w:val="2A3746"/>
                <w:sz w:val="19"/>
              </w:rPr>
              <w:t>22 280 320 ₸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/>
                <w:color w:val="2A3746"/>
                <w:sz w:val="19"/>
              </w:rPr>
              <w:t>267,4 млн ₸</w:t>
            </w:r>
          </w:p>
        </w:tc>
        <w:tc>
          <w:tcPr>
            <w:tcW w:type="dxa" w:w="2381"/>
            <w:shd w:val="clear" w:fill="FFFFFF"/>
          </w:tcPr>
          <w:p>
            <w:r>
              <w:rPr>
                <w:b/>
                <w:color w:val="2A3746"/>
                <w:sz w:val="19"/>
              </w:rPr>
              <w:t>Стоимость для компании</w:t>
            </w:r>
          </w:p>
        </w:tc>
      </w:tr>
      <w:tr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Налоговая нагрузка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27,5% от фонда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—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Пенсионные, соц., медицинские и подоходный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C4772F"/>
        </w:rPr>
        <w:t>1.2. Выводы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Перекос в сторону руководства. </w:t>
      </w:r>
      <w:r>
        <w:rPr>
          <w:b w:val="0"/>
          <w:color w:val="2A3746"/>
          <w:sz w:val="22"/>
        </w:rPr>
        <w:t>Четыре верхние роли (Президент, финансовый директор, операционный директор, генеральный директор) — 68% фонда на 4 из 13 человек; Президент и финансовый директор вдвоём — 52,6%. Разрыв между максимальным и минимальным окладом — около 33 раз.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Дублирование верхнего уровня. </w:t>
      </w:r>
      <w:r>
        <w:rPr>
          <w:b w:val="0"/>
          <w:color w:val="2A3746"/>
          <w:sz w:val="22"/>
        </w:rPr>
        <w:t>Есть Президент, Генеральный директор и Операционный директор — три «первые» роли. До запуска системы нужно чётко разграничить зоны ответственности (стратегия и капитал ↔ операционная прибыль ↔ перевозки и логистика), иначе цели по прибыли пересекутся.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Нет вилок по грейдам. </w:t>
      </w:r>
      <w:r>
        <w:rPr>
          <w:b w:val="0"/>
          <w:color w:val="2A3746"/>
          <w:sz w:val="22"/>
        </w:rPr>
        <w:t>Одна и та же должность «Менеджер по логистике» оплачивается от 150 000 до 800 000 ₸ (разница в 5,3 раза) — нужна формализация уровней (младший / старший / ведущий).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Оплата не зависит от результата. </w:t>
      </w:r>
      <w:r>
        <w:rPr>
          <w:b w:val="0"/>
          <w:color w:val="2A3746"/>
          <w:sz w:val="22"/>
        </w:rPr>
        <w:t>Сегодня вся оплата гарантирована независимо от результата. Модель 75/25 вводит переменную часть и привязывает её к прибыли — как это устроено в сильных перевозочных компаниях.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Никто не отвечал за маржу лично. </w:t>
      </w:r>
      <w:r>
        <w:rPr>
          <w:b w:val="0"/>
          <w:color w:val="2A3746"/>
          <w:sz w:val="22"/>
        </w:rPr>
        <w:t>До сих пор ни у кого не было персональной цели по прибыли. Ниже (раздел 2.4) закрепляем цель по валовой/чистой прибыли за каждым сотрудником передовой линии.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2. Методология: модель 75/25 с привязкой к прибыли</w:t>
      </w:r>
    </w:p>
    <w:p>
      <w:pPr>
        <w:pStyle w:val="Heading2"/>
      </w:pPr>
      <w:r>
        <w:rPr>
          <w:rFonts w:ascii="Calibri" w:hAnsi="Calibri"/>
          <w:color w:val="2F6690"/>
        </w:rPr>
        <w:t>2.1. Принципы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Заработная плата = 75% постоянная часть (гарантирована) + 25% переменная часть (за результат). Единое правило для всех сотрудников.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Переменная часть выделяется из действующей оплаты, а не добавляется: при выполнении на 100% фонд не растёт. Это тонус, а не рост затрат.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Каждый рейс — прибыль. У сотрудника передовой линии есть личная или командная цель по валовой прибыли (марже), к ней привязана переменная часть.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Поддерживающие подразделения (тыл) держат долю переменной на чистой прибыли компании — чтобы поддержка была заинтересована в общем результате.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Прозрачность и измеримость: у каждого 3–5 показателей, веса, пороги и источник факта; расчёт по единой формуле, сверка Комитетом.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Стоп-факторы: дорожно-транспортное происшествие по вине, грубое нарушение правил перевозки, охраны труда или дисциплины обнуляют переменную часть.</w:t>
      </w:r>
    </w:p>
    <w:p>
      <w:pPr>
        <w:pStyle w:val="Heading2"/>
      </w:pPr>
      <w:r>
        <w:rPr>
          <w:rFonts w:ascii="Calibri" w:hAnsi="Calibri"/>
          <w:color w:val="2F6690"/>
        </w:rPr>
        <w:t>2.2. Структура оплаты 75/25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75"/>
            <w:shd w:val="clear" w:fill="13294B"/>
          </w:tcPr>
          <w:p>
            <w:r>
              <w:rPr>
                <w:b/>
                <w:color w:val="FFFFFF"/>
                <w:sz w:val="20"/>
              </w:rPr>
              <w:t>Часть оплаты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20"/>
              </w:rPr>
              <w:t>Доля от оклада</w:t>
            </w:r>
          </w:p>
        </w:tc>
        <w:tc>
          <w:tcPr>
            <w:tcW w:type="dxa" w:w="2608"/>
            <w:shd w:val="clear" w:fill="13294B"/>
          </w:tcPr>
          <w:p>
            <w:r>
              <w:rPr>
                <w:b/>
                <w:color w:val="FFFFFF"/>
                <w:sz w:val="20"/>
              </w:rPr>
              <w:t>Когда выплачивается</w:t>
            </w:r>
          </w:p>
        </w:tc>
        <w:tc>
          <w:tcPr>
            <w:tcW w:type="dxa" w:w="2268"/>
            <w:shd w:val="clear" w:fill="13294B"/>
          </w:tcPr>
          <w:p>
            <w:r>
              <w:rPr>
                <w:b/>
                <w:color w:val="FFFFFF"/>
                <w:sz w:val="20"/>
              </w:rPr>
              <w:t>Смысл</w:t>
            </w:r>
          </w:p>
        </w:tc>
      </w:tr>
      <w:tr>
        <w:tc>
          <w:tcPr>
            <w:tcW w:type="dxa" w:w="3175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Постоянная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75%</w:t>
            </w:r>
          </w:p>
        </w:tc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Всегда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Стабильность, база для жизни сотрудника</w:t>
            </w:r>
          </w:p>
        </w:tc>
      </w:tr>
      <w:tr>
        <w:tc>
          <w:tcPr>
            <w:tcW w:type="dxa" w:w="3175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Переменная (целевая)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25%</w:t>
            </w:r>
          </w:p>
        </w:tc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При выполнении показателей на 100%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Тонус — за результат и прибыль</w:t>
            </w:r>
          </w:p>
        </w:tc>
      </w:tr>
      <w:tr>
        <w:tc>
          <w:tcPr>
            <w:tcW w:type="dxa" w:w="3175"/>
            <w:shd w:val="clear" w:fill="F1F5F9"/>
          </w:tcPr>
          <w:p>
            <w:r>
              <w:rPr>
                <w:b/>
                <w:color w:val="2A3746"/>
                <w:sz w:val="19"/>
              </w:rPr>
              <w:t>Итого при выполнении 100%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/>
                <w:color w:val="2A3746"/>
                <w:sz w:val="19"/>
              </w:rPr>
              <w:t>100%</w:t>
            </w:r>
          </w:p>
        </w:tc>
        <w:tc>
          <w:tcPr>
            <w:tcW w:type="dxa" w:w="2608"/>
            <w:shd w:val="clear" w:fill="F1F5F9"/>
          </w:tcPr>
          <w:p>
            <w:r>
              <w:rPr>
                <w:b/>
                <w:color w:val="2A3746"/>
                <w:sz w:val="19"/>
              </w:rPr>
              <w:t>—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/>
                <w:color w:val="2A3746"/>
                <w:sz w:val="19"/>
              </w:rPr>
              <w:t>Текущая зарплата без изменений</w:t>
            </w:r>
          </w:p>
        </w:tc>
      </w:tr>
      <w:tr>
        <w:tc>
          <w:tcPr>
            <w:tcW w:type="dxa" w:w="3175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Минимум (показатели не выполнены)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75%</w:t>
            </w:r>
          </w:p>
        </w:tc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—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Потеря переменной части</w:t>
            </w:r>
          </w:p>
        </w:tc>
      </w:tr>
      <w:tr>
        <w:tc>
          <w:tcPr>
            <w:tcW w:type="dxa" w:w="3175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Максимум (супер-цель, предел 150% переменной)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до 112,5%</w:t>
            </w:r>
          </w:p>
        </w:tc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При перевыполнении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Дополнительный доход из перевыполнения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Экономика для компании. </w:t>
      </w:r>
      <w:r>
        <w:rPr>
          <w:b w:val="0"/>
          <w:i w:val="0"/>
          <w:color w:val="2A3746"/>
          <w:sz w:val="22"/>
        </w:rPr>
        <w:t>Под результатом — 25% оклада: около 4,96 млн ₸ в месяц (около 59,5 млн ₸ в год) от начисленного. При выполнении на 100% выплачивается полностью (фонд не растёт). Верхний предел переменной — 150% целевой (37,5% оклада), то есть максимум +12,5% к текущему фонду, и только при перевыполнении, которое финансируется прибылью.</w:t>
      </w:r>
    </w:p>
    <w:p>
      <w:pPr>
        <w:pStyle w:val="Heading2"/>
      </w:pPr>
      <w:r>
        <w:rPr>
          <w:rFonts w:ascii="Calibri" w:hAnsi="Calibri"/>
          <w:color w:val="2F6690"/>
        </w:rPr>
        <w:t>2.3. Формула переменной части</w:t>
      </w:r>
    </w:p>
    <w:p>
      <w:pPr>
        <w:spacing w:after="120" w:before="0"/>
      </w:pPr>
      <w:r>
        <w:rPr>
          <w:b/>
          <w:i w:val="0"/>
          <w:color w:val="13294B"/>
          <w:sz w:val="22"/>
        </w:rPr>
        <w:t>Переменная к выплате = (25% × Оклад) × Процент выполнения показателей × Коэффициент компании × Стоп-фактор   (предел 150%)</w:t>
      </w:r>
    </w:p>
    <w:p>
      <w:pPr>
        <w:spacing w:after="120" w:before="40"/>
      </w:pPr>
      <w:r>
        <w:rPr>
          <w:b/>
          <w:i w:val="0"/>
          <w:color w:val="2F6690"/>
          <w:sz w:val="22"/>
        </w:rPr>
        <w:t>Процент выполнения = сумма (Выполнение показателя × Вес);   Итого к выплате = 75% × Оклад + Переменная к выплате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94"/>
            <w:shd w:val="clear" w:fill="13294B"/>
          </w:tcPr>
          <w:p>
            <w:r>
              <w:rPr>
                <w:b/>
                <w:color w:val="FFFFFF"/>
                <w:sz w:val="20"/>
              </w:rPr>
              <w:t>Элемент</w:t>
            </w:r>
          </w:p>
        </w:tc>
        <w:tc>
          <w:tcPr>
            <w:tcW w:type="dxa" w:w="5102"/>
            <w:shd w:val="clear" w:fill="13294B"/>
          </w:tcPr>
          <w:p>
            <w:r>
              <w:rPr>
                <w:b/>
                <w:color w:val="FFFFFF"/>
                <w:sz w:val="20"/>
              </w:rPr>
              <w:t>Что означает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20"/>
              </w:rPr>
              <w:t>Диапазон</w:t>
            </w:r>
          </w:p>
        </w:tc>
      </w:tr>
      <w:tr>
        <w:tc>
          <w:tcPr>
            <w:tcW w:type="dxa" w:w="2494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Выполнение показателя</w:t>
            </w:r>
          </w:p>
        </w:tc>
        <w:tc>
          <w:tcPr>
            <w:tcW w:type="dxa" w:w="51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Факт относительно порога / цели / супер-цели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0–150%</w:t>
            </w:r>
          </w:p>
        </w:tc>
      </w:tr>
      <w:tr>
        <w:tc>
          <w:tcPr>
            <w:tcW w:type="dxa" w:w="2494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Вес показателя</w:t>
            </w:r>
          </w:p>
        </w:tc>
        <w:tc>
          <w:tcPr>
            <w:tcW w:type="dxa" w:w="5102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Значимость (сумма весов = 100%); у передовой линии показатель прибыли — главный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10–50%</w:t>
            </w:r>
          </w:p>
        </w:tc>
      </w:tr>
      <w:tr>
        <w:tc>
          <w:tcPr>
            <w:tcW w:type="dxa" w:w="2494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Коэффициент компании</w:t>
            </w:r>
          </w:p>
        </w:tc>
        <w:tc>
          <w:tcPr>
            <w:tcW w:type="dxa" w:w="51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Общий множитель по чистой прибыли компании к плану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0,7–1,3</w:t>
            </w:r>
          </w:p>
        </w:tc>
      </w:tr>
      <w:tr>
        <w:tc>
          <w:tcPr>
            <w:tcW w:type="dxa" w:w="2494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Стоп-фактор</w:t>
            </w:r>
          </w:p>
        </w:tc>
        <w:tc>
          <w:tcPr>
            <w:tcW w:type="dxa" w:w="5102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Дорожное происшествие / нарушение правил / охраны труда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0 / 0,5 / 1,0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Шкала выполнения: </w:t>
      </w:r>
      <w:r>
        <w:rPr>
          <w:b w:val="0"/>
          <w:i w:val="0"/>
          <w:color w:val="2A3746"/>
          <w:sz w:val="22"/>
        </w:rPr>
        <w:t>ниже порога — 0%; на пороге — 50%; на цели — 100%; на супер-цели — до 150% (предел). Между точками — по прямой пропорции.</w:t>
      </w:r>
    </w:p>
    <w:p>
      <w:pPr>
        <w:pStyle w:val="Heading2"/>
      </w:pPr>
      <w:r>
        <w:rPr>
          <w:rFonts w:ascii="Calibri" w:hAnsi="Calibri"/>
          <w:color w:val="2F6690"/>
        </w:rPr>
        <w:t>2.4. Привязка к прибыли: передовая линия и поддержка</w:t>
      </w:r>
    </w:p>
    <w:p>
      <w:pPr>
        <w:spacing w:after="120" w:before="0"/>
      </w:pPr>
      <w:r>
        <w:rPr>
          <w:b/>
          <w:i w:val="0"/>
          <w:color w:val="13294B"/>
          <w:sz w:val="22"/>
        </w:rPr>
        <w:t>Передовая линия (фронт)</w:t>
      </w:r>
      <w:r>
        <w:rPr>
          <w:b w:val="0"/>
          <w:i w:val="0"/>
          <w:color w:val="2A3746"/>
          <w:sz w:val="22"/>
        </w:rPr>
        <w:t xml:space="preserve"> — роли, напрямую создающие выручку и маржу: руководство (владеет прибылью и убытками целиком), операционный директор и начальник отдела логистики (валовая прибыль своих направлений), менеджеры по логистике (маржа по своим перевозкам и клиентам), менеджер по закрытию (валовая прибыль по закрытым перевозкам). У каждого показатель прибыли имеет вес 40–50%.</w:t>
      </w:r>
    </w:p>
    <w:p>
      <w:pPr>
        <w:spacing w:after="120" w:before="0"/>
      </w:pPr>
      <w:r>
        <w:rPr>
          <w:b/>
          <w:i w:val="0"/>
          <w:color w:val="13294B"/>
          <w:sz w:val="22"/>
        </w:rPr>
        <w:t>Поддержка (тыл)</w:t>
      </w:r>
      <w:r>
        <w:rPr>
          <w:b w:val="0"/>
          <w:i w:val="0"/>
          <w:color w:val="2A3746"/>
          <w:sz w:val="22"/>
        </w:rPr>
        <w:t xml:space="preserve"> — отдел персонала, менеджер по персоналу, юрист: переменная = функциональные показатели плюс доля от чистой прибыли компании (вес около 25%), чтобы поддержка была заинтересована в общем результате.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Правило прибыли: </w:t>
      </w:r>
      <w:r>
        <w:rPr>
          <w:b w:val="0"/>
          <w:i w:val="0"/>
          <w:color w:val="2A3746"/>
          <w:sz w:val="22"/>
        </w:rPr>
        <w:t>целевая валовая прибыль сотрудника передовой линии не ниже, чем K × его годовая стоимость (фонд оплаты). Коэффициент K задаётся из отчётности так, чтобы сумма целей передовой линии покрывала все затраты компании и целевую чистую прибыль. Ниже — стоимость сотрудников и ориентир при K=3 (для примера; настраивается).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75"/>
            <w:shd w:val="clear" w:fill="13294B"/>
          </w:tcPr>
          <w:p>
            <w:r>
              <w:rPr>
                <w:b/>
                <w:color w:val="FFFFFF"/>
                <w:sz w:val="20"/>
              </w:rPr>
              <w:t>Сотрудник передовой линии</w:t>
            </w:r>
          </w:p>
        </w:tc>
        <w:tc>
          <w:tcPr>
            <w:tcW w:type="dxa" w:w="3061"/>
            <w:shd w:val="clear" w:fill="13294B"/>
          </w:tcPr>
          <w:p>
            <w:r>
              <w:rPr>
                <w:b/>
                <w:color w:val="FFFFFF"/>
                <w:sz w:val="20"/>
              </w:rPr>
              <w:t>Цель по прибыли</w:t>
            </w:r>
          </w:p>
        </w:tc>
        <w:tc>
          <w:tcPr>
            <w:tcW w:type="dxa" w:w="1814"/>
            <w:shd w:val="clear" w:fill="13294B"/>
          </w:tcPr>
          <w:p>
            <w:r>
              <w:rPr>
                <w:b/>
                <w:color w:val="FFFFFF"/>
                <w:sz w:val="20"/>
              </w:rPr>
              <w:t>Стоимость в год, ₸</w:t>
            </w:r>
          </w:p>
        </w:tc>
        <w:tc>
          <w:tcPr>
            <w:tcW w:type="dxa" w:w="2041"/>
            <w:shd w:val="clear" w:fill="13294B"/>
          </w:tcPr>
          <w:p>
            <w:r>
              <w:rPr>
                <w:b/>
                <w:color w:val="FFFFFF"/>
                <w:sz w:val="20"/>
              </w:rPr>
              <w:t>Ориентир прибыли при K=3, ₸</w:t>
            </w:r>
          </w:p>
        </w:tc>
      </w:tr>
      <w:tr>
        <w:tc>
          <w:tcPr>
            <w:tcW w:type="dxa" w:w="317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Президент / Ген. директор / Фин. директор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Чистая прибыль компании (весь результат)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—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 плану компании</w:t>
            </w:r>
          </w:p>
        </w:tc>
      </w:tr>
      <w:tr>
        <w:tc>
          <w:tcPr>
            <w:tcW w:type="dxa" w:w="317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Унбетпаев Е. (операционный директор)</w:t>
            </w:r>
          </w:p>
        </w:tc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Валовая прибыль по операциям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25 491 360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76 474 080</w:t>
            </w:r>
          </w:p>
        </w:tc>
      </w:tr>
      <w:tr>
        <w:tc>
          <w:tcPr>
            <w:tcW w:type="dxa" w:w="317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Доолоткулов Д. (начальник отдела логистики)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Валовая прибыль отдела перевозок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17 073 612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51 220 836</w:t>
            </w:r>
          </w:p>
        </w:tc>
      </w:tr>
      <w:tr>
        <w:tc>
          <w:tcPr>
            <w:tcW w:type="dxa" w:w="317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Сибагатов Х. (менеджер, старший)</w:t>
            </w:r>
          </w:p>
        </w:tc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Маржа по своим перевозкам и клиентам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13 686 336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41 059 008</w:t>
            </w:r>
          </w:p>
        </w:tc>
      </w:tr>
      <w:tr>
        <w:tc>
          <w:tcPr>
            <w:tcW w:type="dxa" w:w="317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Таджимурадова А. (закрытие)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Прибыль по закрытым перевозкам и собранная оплата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5 285 472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15 856 416</w:t>
            </w:r>
          </w:p>
        </w:tc>
      </w:tr>
      <w:tr>
        <w:tc>
          <w:tcPr>
            <w:tcW w:type="dxa" w:w="317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Сейтқадыр Д. (менеджер)</w:t>
            </w:r>
          </w:p>
        </w:tc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Маржа по своим перевозкам и клиентам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3 295 044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9 885 132</w:t>
            </w:r>
          </w:p>
        </w:tc>
      </w:tr>
      <w:tr>
        <w:tc>
          <w:tcPr>
            <w:tcW w:type="dxa" w:w="317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Жунусова К. (менеджер)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Маржа по своим перевозкам и клиентам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3 142 032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9 426 096</w:t>
            </w:r>
          </w:p>
        </w:tc>
      </w:tr>
      <w:tr>
        <w:tc>
          <w:tcPr>
            <w:tcW w:type="dxa" w:w="317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Белова П. (менеджер, младший)</w:t>
            </w:r>
          </w:p>
        </w:tc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Маржа по своим перевозкам и клиентам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2 414 124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7 242 372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color w:val="6B7A8D"/>
          <w:sz w:val="18"/>
        </w:rPr>
        <w:t>Стоимость = «Полная стоимость со всеми налогами» × 12. Коэффициент K — единый ориентир; для младших и старших пороги различаются по уровню (грейду).</w:t>
      </w:r>
    </w:p>
    <w:p>
      <w:pPr>
        <w:pStyle w:val="Heading2"/>
      </w:pPr>
      <w:r>
        <w:rPr>
          <w:rFonts w:ascii="Calibri" w:hAnsi="Calibri"/>
          <w:color w:val="2F6690"/>
        </w:rPr>
        <w:t>2.5. Периодичность и управление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Периодичность. </w:t>
      </w:r>
      <w:r>
        <w:rPr>
          <w:b w:val="0"/>
          <w:color w:val="2A3746"/>
          <w:sz w:val="22"/>
        </w:rPr>
        <w:t>Передовая линия (менеджеры по логистике, закрытие) — ежемесячно (быстрый тонус); руководители направлений — квартал; часть по прибыли у высшего руководства — квартал и год.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Комитет по показателям. </w:t>
      </w:r>
      <w:r>
        <w:rPr>
          <w:b w:val="0"/>
          <w:color w:val="2A3746"/>
          <w:sz w:val="22"/>
        </w:rPr>
        <w:t>Президент/Генеральный директор (председатель), финансовый директор, отдел персонала: утверждение целей, ежеквартальная сверка результатов, разбор спорных случаев.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Источник факта по прибыли. </w:t>
      </w:r>
      <w:r>
        <w:rPr>
          <w:b w:val="0"/>
          <w:color w:val="2A3746"/>
          <w:sz w:val="22"/>
        </w:rPr>
        <w:t>Валовая и чистая прибыль — из управленческой отчётности (ответственный — финансовый директор); маржа по перевозкам и сделкам — из расчёта себестоимости и учёта заявок.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Учёт. </w:t>
      </w:r>
      <w:r>
        <w:rPr>
          <w:b w:val="0"/>
          <w:color w:val="2A3746"/>
          <w:sz w:val="22"/>
        </w:rPr>
        <w:t>Прилагается расчётный файл (расчёт переменной по каждому сотруднику); в дальнейшем — учётная система предприятия.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3. Карты показателей сотрудников (модель 75/25)</w:t>
      </w:r>
    </w:p>
    <w:p>
      <w:pPr>
        <w:spacing w:after="120" w:before="0"/>
      </w:pPr>
      <w:r>
        <w:rPr>
          <w:b w:val="0"/>
          <w:i w:val="0"/>
          <w:color w:val="6B7A8D"/>
          <w:sz w:val="22"/>
        </w:rPr>
        <w:t>У всех: 75% постоянная + 25% переменная часть оклада. Показатель прибыли выделен. Сумма весов = 100%. Пороги настраивает руководитель направления.</w:t>
      </w:r>
    </w:p>
    <w:p>
      <w:pPr>
        <w:pStyle w:val="Heading2"/>
      </w:pPr>
      <w:r>
        <w:rPr>
          <w:rFonts w:ascii="Calibri" w:hAnsi="Calibri"/>
          <w:color w:val="2F6690"/>
        </w:rPr>
        <w:t>3.1. Серикбаев Адиль — Президент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постоянная + 25% переменная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Супер-цель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к плану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+15%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Выручка к плану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115%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Отчёт о продажах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Развитие: новые направления, клиенты, география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этапов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60%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досрочно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 развития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Денежный поток и привлечённое финансирование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млн ₸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Движение средств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Удержание ключевой команды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92%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Отдел персонала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чистая прибыль компании — отвечает за весь результат.</w:t>
      </w:r>
    </w:p>
    <w:p>
      <w:pPr>
        <w:pStyle w:val="Heading2"/>
      </w:pPr>
      <w:r>
        <w:rPr>
          <w:rFonts w:ascii="Calibri" w:hAnsi="Calibri"/>
          <w:color w:val="2F6690"/>
        </w:rPr>
        <w:t>3.2. Данияр Алим — Генеральный директор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постоянная + 25% переменная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Супер-цель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к плану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Валовая прибыль и рентабельность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Выручка к плану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115%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Отчёт о продажах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Выполнение годового плана (стратег. цели)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 целей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60%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досрочно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 года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Удовлетворённость и удержание клиентов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балл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Опрос клиентов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чистая и валовая прибыль компании — операционный результат.</w:t>
      </w:r>
    </w:p>
    <w:p>
      <w:pPr>
        <w:pStyle w:val="Heading2"/>
      </w:pPr>
      <w:r>
        <w:rPr>
          <w:rFonts w:ascii="Calibri" w:hAnsi="Calibri"/>
          <w:color w:val="2F6690"/>
        </w:rPr>
        <w:t>3.3. Аубакиров Алимбек — Финансовый директор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постоянная + 25% переменная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Супер-цель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к плану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35%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Запас денежных средств, без кассовых разрывов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мес.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Движение средств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Период оборота дебиторской задолженности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дни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−10%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−20%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Реестр расчётов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Точность бюджета (отклонение факт/план)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±10%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±5%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±2%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План/факт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Привлечение и стоимость финансирования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млн 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лучше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Казначейство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чистая прибыль и денежная устойчивость компании.</w:t>
      </w:r>
    </w:p>
    <w:p>
      <w:pPr>
        <w:pStyle w:val="Heading2"/>
      </w:pPr>
      <w:r>
        <w:rPr>
          <w:rFonts w:ascii="Calibri" w:hAnsi="Calibri"/>
          <w:color w:val="2F6690"/>
        </w:rPr>
        <w:t>3.4. Унбетпаев Ернар — Операционный директор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постоянная + 25% переменная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Супер-цель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прибыль по операциям к плану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млн 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Соблюдение сроков доставки (в срок и полностью)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 операций на тонну/километр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Безопасность: происшествия, охрана труда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Служба безопасности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Загрузка транспорта / порожний пробег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валовая прибыль по операциям не ниже K× стоимости (ориентир ~76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3.5. Доолоткулов Данияр — Начальник отдела логистики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постоянная + 25% переменная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Супер-цель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прибыль отдела перевозок к плану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млн 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Соблюдение сроков доставки по отделу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 перевозки на рейс/тонну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−7%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−15%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Загрузка транспорта / порожний пробег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Сохранность груза и уровень претензий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Отдел рекламаций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валовая прибыль отдела не ниже K× стоимости (ориентир ~51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3.6. Сибагатов Хамардин — Менеджер по логистике (старший)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постоянная + 25% переменная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Супер-цель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маржа по своим перевозкам (≥ K× стоимости)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Объём организованных перевозок к норме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Соблюдение сроков доставки по своим рейсам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Загрузка транспорта / порожний пробег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Точность документов и сохранность груза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претензии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Отдел рекламаций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маржа ≥ K× стоимости (~41 млн ₸/год при K=3), повышенная норма, наставничество.</w:t>
      </w:r>
    </w:p>
    <w:p>
      <w:pPr>
        <w:pStyle w:val="Heading2"/>
      </w:pPr>
      <w:r>
        <w:rPr>
          <w:rFonts w:ascii="Calibri" w:hAnsi="Calibri"/>
          <w:color w:val="2F6690"/>
        </w:rPr>
        <w:t>3.7. Жунусова Камила — Менеджер по логистике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постоянная + 25% переменная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Супер-цель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маржа по своим перевозкам (≥ K× стоимости)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Объём организованных перевозок к норме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Соблюдение сроков доставки по своим рейсам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Загрузка транспорта / порожний пробег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Точность документов и сохранность груза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претензии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Отдел рекламаций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маржа ≥ K× стоимости (~9,4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3.8. Сейтқадыр Дарын — Менеджер по логистике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постоянная + 25% переменная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Супер-цель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маржа по своим перевозкам (≥ K× стоимости)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Объём организованных перевозок к норме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Соблюдение сроков доставки по своим рейсам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Загрузка транспорта / порожний пробег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Точность документов и сохранность груза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претензии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Отдел рекламаций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маржа ≥ K× стоимости (~9,9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3.9. Белова Полина — Менеджер по логистике (младший)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постоянная + 25% переменная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Супер-цель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маржа по своим перевозкам (≥ K× стоимости)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Объём организованных перевозок к норме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Соблюдение сроков доставки по своим рейсам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Загрузка транспорта / порожний пробег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Точность документов и сохранность груза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претензии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Отдел рекламаций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маржа ≥ K× стоимости (~7,2 млн ₸/год при K=3), пороги ниже по уровню.</w:t>
      </w:r>
    </w:p>
    <w:p>
      <w:pPr>
        <w:pStyle w:val="Heading2"/>
      </w:pPr>
      <w:r>
        <w:rPr>
          <w:rFonts w:ascii="Calibri" w:hAnsi="Calibri"/>
          <w:color w:val="2F6690"/>
        </w:rPr>
        <w:t>3.10. Таджимурадова Асем — Менеджер по закрытию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постоянная + 25% переменная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Супер-цель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прибыль по закрытым перевозкам к плану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Учёт/отчётность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Собираемость оплаты от клиентов в срок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30%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Реестр расчётов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Срок закрытия и оформления документов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дни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быстрее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Документооборот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Точность документов, отсутствие расхождений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Сверка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прибыль по закрытым перевозкам и собранная оплата не ниже K× стоимости (ориентир ~15,9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3.11. Аманбекова Айгуль — Отдел персонала (руководитель)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постоянная + 25% переменная · ПОДДЕРЖКА · доля от прибыли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Супер-цель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(общий показатель)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Удержание ключевого персонала / текучесть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лучше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Кадровый учёт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Срок закрытия ключевых вакансий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дни / 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Отчёт по подбору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Вовлечённость персонала (по опросу)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балл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Опрос персонала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Внедрение системы мотивации / бюджет фонда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60%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без ошибок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 отдела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2F6690"/>
        </w:rPr>
        <w:t>3.12. Байльденова Шолпан — Менеджер по персоналу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постоянная + 25% переменная · ПОДДЕРЖКА · доля от прибыли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Супер-цель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(общий показатель)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Срок закрытия вакансий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дни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лучше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Отчёт по подбору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Кадровый учёт без нарушений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шт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 в срок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без замечаний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Кадровый аудит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Точность и своевременность расчёта зарплаты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без ошибок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Бухгалтерия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Адаптация новых сотрудников (прохождение срока)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Отдел персонала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2F6690"/>
        </w:rPr>
        <w:t>3.13. Ташметов Сакен — Юрист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постоянная + 25% переменная · ПОДДЕРЖКА · доля от прибыли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Супер-цель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(общий показатель)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Взысканная дебиторская задолженность / споры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₸ / 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Претензии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Согласование договоров в срок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дни / 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лучше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Реестр договоров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Юридические риски: штрафы, просрочки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Реестр рисков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Юридическое сопровождение сделок и перевозок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этапов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досрочно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Проекты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4. Положение о премировании (модель 75/25)</w:t>
      </w:r>
    </w:p>
    <w:p>
      <w:pPr>
        <w:pStyle w:val="Heading2"/>
      </w:pPr>
      <w:r>
        <w:rPr>
          <w:rFonts w:ascii="Calibri" w:hAnsi="Calibri"/>
          <w:color w:val="2F6690"/>
        </w:rPr>
        <w:t>4.1. Расчёт</w:t>
      </w:r>
    </w:p>
    <w:p>
      <w:pPr>
        <w:spacing w:after="120" w:before="0"/>
      </w:pPr>
      <w:r>
        <w:rPr>
          <w:b/>
          <w:i w:val="0"/>
          <w:color w:val="13294B"/>
          <w:sz w:val="22"/>
        </w:rPr>
        <w:t>Итого к выплате = 75% × Оклад + (25% × Оклад) × Процент выполнения × Коэффициент компании × Стоп-фактор   (переменная — предел 150% целевой).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Постоянная часть. </w:t>
      </w:r>
      <w:r>
        <w:rPr>
          <w:b w:val="0"/>
          <w:color w:val="2A3746"/>
          <w:sz w:val="22"/>
        </w:rPr>
        <w:t>75% оклада — выплачивается всегда, не зависит от показателей.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Переменная часть. </w:t>
      </w:r>
      <w:r>
        <w:rPr>
          <w:b w:val="0"/>
          <w:color w:val="2A3746"/>
          <w:sz w:val="22"/>
        </w:rPr>
        <w:t>25% оклада при выполнении на 100%; масштабируется процентом выполнения, коэффициентом компании и стоп-фактором; предел — 150% целевой (то есть 37,5% оклада).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Коэффициент компании. </w:t>
      </w:r>
      <w:r>
        <w:rPr>
          <w:b w:val="0"/>
          <w:color w:val="2A3746"/>
          <w:sz w:val="22"/>
        </w:rPr>
        <w:t>по чистой прибыли к плану: ниже 70% → 0,7; 100% → 1,0; 120% и выше → 1,3 — синхронизирует всех с прибылью.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Стоп-фактор. </w:t>
      </w:r>
      <w:r>
        <w:rPr>
          <w:b w:val="0"/>
          <w:color w:val="2A3746"/>
          <w:sz w:val="22"/>
        </w:rPr>
        <w:t>дорожно-транспортное происшествие по вине, грубое нарушение правил перевозки, охраны труда или дисциплины → переменная × 0 или × 0,5 по решению Комитета.</w:t>
      </w:r>
    </w:p>
    <w:p>
      <w:pPr>
        <w:pStyle w:val="Heading2"/>
      </w:pPr>
      <w:r>
        <w:rPr>
          <w:rFonts w:ascii="Calibri" w:hAnsi="Calibri"/>
          <w:color w:val="2F6690"/>
        </w:rPr>
        <w:t>4.2. Пример расчёта (менеджер по логистике)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Оклад 200 000 ₸ → постоянная 150 000 + переменная целевая 50 000. Период — месяц.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81"/>
            <w:shd w:val="clear" w:fill="13294B"/>
          </w:tcPr>
          <w:p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2154"/>
            <w:shd w:val="clear" w:fill="13294B"/>
          </w:tcPr>
          <w:p>
            <w:r>
              <w:rPr>
                <w:b/>
                <w:color w:val="FFFFFF"/>
                <w:sz w:val="20"/>
              </w:rPr>
              <w:t>Процент выполнения</w:t>
            </w:r>
          </w:p>
        </w:tc>
        <w:tc>
          <w:tcPr>
            <w:tcW w:type="dxa" w:w="2494"/>
            <w:shd w:val="clear" w:fill="13294B"/>
          </w:tcPr>
          <w:p>
            <w:r>
              <w:rPr>
                <w:b/>
                <w:color w:val="FFFFFF"/>
                <w:sz w:val="20"/>
              </w:rPr>
              <w:t>Переменная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20"/>
              </w:rPr>
              <w:t>Итого к выплате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Перевыполнил план</w:t>
            </w:r>
          </w:p>
        </w:tc>
        <w:tc>
          <w:tcPr>
            <w:tcW w:type="dxa" w:w="215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маржа выше цели → около 110%</w:t>
            </w:r>
          </w:p>
        </w:tc>
        <w:tc>
          <w:tcPr>
            <w:tcW w:type="dxa" w:w="249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50 000×1,10×1,05 ≈ 57 750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207 750 ₸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сверх текущей зарплаты</w:t>
            </w:r>
          </w:p>
        </w:tc>
      </w:tr>
      <w:tr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Выполнил план</w:t>
            </w:r>
          </w:p>
        </w:tc>
        <w:tc>
          <w:tcPr>
            <w:tcW w:type="dxa" w:w="2154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около 100%</w:t>
            </w:r>
          </w:p>
        </w:tc>
        <w:tc>
          <w:tcPr>
            <w:tcW w:type="dxa" w:w="2494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50 000×1,0×1,0 = 50 000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200 000 ₸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текущая зарплата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Недовыполнил</w:t>
            </w:r>
          </w:p>
        </w:tc>
        <w:tc>
          <w:tcPr>
            <w:tcW w:type="dxa" w:w="215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около 60%</w:t>
            </w:r>
          </w:p>
        </w:tc>
        <w:tc>
          <w:tcPr>
            <w:tcW w:type="dxa" w:w="249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50 000×0,6×1,0 = 30 000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180 000 ₸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−20 000 (тонус)</w:t>
            </w:r>
          </w:p>
        </w:tc>
      </w:tr>
      <w:tr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Провалил цель по прибыли</w:t>
            </w:r>
          </w:p>
        </w:tc>
        <w:tc>
          <w:tcPr>
            <w:tcW w:type="dxa" w:w="2154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около 20%</w:t>
            </w:r>
          </w:p>
        </w:tc>
        <w:tc>
          <w:tcPr>
            <w:tcW w:type="dxa" w:w="2494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50 000×0,2 = 10 000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160 000 ₸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−40 000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2F6690"/>
        </w:rPr>
        <w:t>4.3. Экономика для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61"/>
            <w:shd w:val="clear" w:fill="13294B"/>
          </w:tcPr>
          <w:p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3061"/>
            <w:shd w:val="clear" w:fill="13294B"/>
          </w:tcPr>
          <w:p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3402"/>
            <w:shd w:val="clear" w:fill="13294B"/>
          </w:tcPr>
          <w:p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Под результатом (25% оклада)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около 4,96 млн ₸/мес · 59,5 млн ₸/год</w:t>
            </w:r>
          </w:p>
        </w:tc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Часть текущей оплаты, ставшая условной</w:t>
            </w:r>
          </w:p>
        </w:tc>
      </w:tr>
      <w:tr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Фонд при выполнении на 100%</w:t>
            </w:r>
          </w:p>
        </w:tc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267,4 млн ₸/год</w:t>
            </w:r>
          </w:p>
        </w:tc>
        <w:tc>
          <w:tcPr>
            <w:tcW w:type="dxa" w:w="3402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Без изменений</w:t>
            </w:r>
          </w:p>
        </w:tc>
      </w:tr>
      <w:tr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Экономия при недовыполнении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до −59,5 млн ₸/год</w:t>
            </w:r>
          </w:p>
        </w:tc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Если цели массово не достигнуты</w:t>
            </w:r>
          </w:p>
        </w:tc>
      </w:tr>
      <w:tr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Максимум (все на супер-цели 150%)</w:t>
            </w:r>
          </w:p>
        </w:tc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до +29,8 млн ₸/год</w:t>
            </w:r>
          </w:p>
        </w:tc>
        <w:tc>
          <w:tcPr>
            <w:tcW w:type="dxa" w:w="3402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Только при перевыполнении, из прибыли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Итог: </w:t>
      </w:r>
      <w:r>
        <w:rPr>
          <w:b w:val="0"/>
          <w:i w:val="0"/>
          <w:color w:val="2A3746"/>
          <w:sz w:val="22"/>
        </w:rPr>
        <w:t>модель самобалансируется — платим полностью, когда цели по прибыли достигнуты; экономим, когда нет; сверхвыплаты возникают только при перевыполнении и финансируются заработанной прибылью.</w:t>
      </w:r>
    </w:p>
    <w:p>
      <w:pPr>
        <w:pStyle w:val="Heading2"/>
      </w:pPr>
      <w:r>
        <w:rPr>
          <w:rFonts w:ascii="Calibri" w:hAnsi="Calibri"/>
          <w:color w:val="2F6690"/>
        </w:rPr>
        <w:t>4.4. Правила и защита сотрудника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Деление 75/25 и показатели фиксируются дополнительным соглашением к трудовому договору; вводятся с даты приказа, без снижения совокупной зарплаты при выполнении на 100%.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Отсутствие факта по показателю по вине сотрудника — 0% по этому показателю; по независящим причинам — показатель исключается, веса перераспределяются.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Факт по прибыли (валовая/чистая) подтверждается управленческой отчётностью; методику учёта маржи по перевозкам утверждает финансовый директор.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Пороги и коэффициент K пересматриваются раз в год (или при существенном изменении рынка), чтобы цели не обесценивались.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Спорные случаи рассматривает Комитет по показателям; окончательное решение по нестандартным ситуациям — за Президентом/Генеральным директором.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5. Проект приказа</w:t>
      </w:r>
    </w:p>
    <w:p>
      <w:pPr>
        <w:pBdr>
          <w:bottom w:val="single" w:sz="6" w:space="1" w:color="C4772F"/>
        </w:pBdr>
        <w:spacing w:after="40"/>
      </w:pPr>
    </w:p>
    <w:p>
      <w:pPr>
        <w:spacing w:after="40" w:before="0"/>
        <w:jc w:val="center"/>
      </w:pPr>
      <w:r>
        <w:rPr>
          <w:b/>
          <w:i w:val="0"/>
          <w:color w:val="13294B"/>
          <w:sz w:val="22"/>
        </w:rPr>
        <w:t>Waystar Group  (полное наименование юридического лица — уточнить)</w:t>
      </w:r>
    </w:p>
    <w:p>
      <w:pPr>
        <w:spacing w:after="40" w:before="0"/>
        <w:jc w:val="center"/>
      </w:pPr>
      <w:r>
        <w:rPr>
          <w:b/>
          <w:i w:val="0"/>
          <w:color w:val="13294B"/>
          <w:sz w:val="28"/>
        </w:rPr>
        <w:t>ПРИКАЗ</w:t>
      </w:r>
    </w:p>
    <w:p>
      <w:pPr>
        <w:spacing w:after="160" w:before="0"/>
        <w:jc w:val="center"/>
      </w:pPr>
      <w:r>
        <w:rPr>
          <w:b w:val="0"/>
          <w:i w:val="0"/>
          <w:color w:val="2A3746"/>
          <w:sz w:val="22"/>
        </w:rPr>
        <w:t>г. ____________               № ______               «____» __________ 2026 г.</w:t>
      </w:r>
    </w:p>
    <w:p>
      <w:pPr>
        <w:spacing w:after="160" w:before="0"/>
        <w:jc w:val="center"/>
      </w:pPr>
      <w:r>
        <w:rPr>
          <w:b/>
          <w:i w:val="0"/>
          <w:color w:val="13294B"/>
          <w:sz w:val="22"/>
        </w:rPr>
        <w:t>О внедрении системы показателей эффективности и переменной оплаты труда по модели «75/25» с привязкой к прибыли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В целях повышения эффективности, привязки вознаграждения к результатам и прибыли компании и поддержания результативности персонала, ПРИКАЗЫВАЮ: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Ввести с «01» ________ 2026 г. структуру оплаты труда «75% постоянная часть + 25% переменная часть» для всех сотрудников, без снижения совокупной заработной платы при выполнении целей на 100%.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Утвердить: Методологию (раздел 2) — Приложение 1; Положение о премировании (раздел 4) — Приложение 2; Карты показателей сотрудников (раздел 3) — Приложение 3.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Закрепить за каждым сотрудником передовой линии цель по валовой/чистой прибыли по правилу «не ниже K× собственной стоимости»; коэффициент K и пороги — утвердить по управленческой отчётности (раздел 2.4).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Установить переменную часть как: (25% × оклад) × процент выполнения показателей × коэффициент по чистой прибыли компании × стоп-фактор, предел — 150% целевой.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Создать Комитет по показателям: Президент/Генеральный директор (председатель), финансовый директор, отдел персонала. Периодичность сверки — ежеквартально.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Финансовому директору (Аубакиров А.Е.) — обеспечить управленческий учёт валовой/чистой прибыли, методику маржи по перевозкам и сделкам, расчёт переменной части и коэффициента K.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Отделу персонала (Аманбекова А.Б.) — до «____» ________ 2026 г. довести приказ под роспись, оформить дополнительные соглашения и карты показателей, вести реестр показателей.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Руководителям направлений — настроить пороги (порог/цель/супер-цель) и назначить ответственных за факт по каждому показателю.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Контроль за исполнением приказа оставляю за собой.</w:t>
      </w:r>
    </w:p>
    <w:p>
      <w:pPr>
        <w:spacing w:after="120" w:before="120"/>
      </w:pPr>
      <w:r>
        <w:rPr>
          <w:b w:val="0"/>
          <w:i w:val="0"/>
          <w:color w:val="6B7A8D"/>
          <w:sz w:val="20"/>
        </w:rPr>
        <w:t>Приложения: 1) Методология; 2) Положение о премировании; 3) Карты показателей; 4) Расчётный файл (модель 75/25).</w:t>
      </w:r>
    </w:p>
    <w:p>
      <w:pPr>
        <w:spacing w:after="160" w:before="0"/>
      </w:pPr>
      <w:r>
        <w:rPr>
          <w:b w:val="0"/>
          <w:i w:val="0"/>
          <w:color w:val="2A3746"/>
          <w:sz w:val="22"/>
        </w:rPr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Президент Waystar Group    ______________________    Серикбаев А.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</w:r>
    </w:p>
    <w:p>
      <w:pPr>
        <w:spacing w:after="120" w:before="0"/>
      </w:pPr>
      <w:r>
        <w:rPr>
          <w:b w:val="0"/>
          <w:i w:val="0"/>
          <w:color w:val="6B7A8D"/>
          <w:sz w:val="20"/>
        </w:rPr>
        <w:t>С приказом ознакомлены:  ______________________________________________________</w:t>
      </w:r>
    </w:p>
    <w:p>
      <w:pPr>
        <w:spacing w:after="120" w:before="160"/>
      </w:pPr>
      <w:r>
        <w:rPr>
          <w:b/>
          <w:i w:val="0"/>
          <w:color w:val="C4772F"/>
          <w:sz w:val="18"/>
        </w:rPr>
        <w:t xml:space="preserve">Примечание. </w:t>
      </w:r>
      <w:r>
        <w:rPr>
          <w:b w:val="0"/>
          <w:i w:val="0"/>
          <w:color w:val="6B7A8D"/>
          <w:sz w:val="18"/>
        </w:rPr>
        <w:t>Проект. Реквизиты, даты, коэффициент K и пороги — уточнить перед подписанием. Значения фонда оплаты — по управленческой ведомости, подлежат сверке с бухгалтерией.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A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